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KWMP6GE79VQ00BGRVR8IL097ZQ0OXVR9S0XOJD8XFGRTELT6MBJKC0PFSUHPFRRAXM6OOLJZHKD8IJJENFTPFF789EMWHWB8UOORHB3B6FE1829B4D2265F92FBB0185629004A" Type="http://schemas.microsoft.com/office/2006/relationships/officeDocumentMain" Target="docProps/core.xml"/><Relationship Id="DPWFP6GQ79VA05BGQYR8ML0S7NNMOSYREU06BJEEXFBRTDLTZ7BJQCJTFSVHPFIRXOMXCOZNZH5D8MJJQNFTQF8D89Q0WMLBANOOYHB3B14664E96BE79EDEF1F6BC1B77F4DB94"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both"/>
        <w:rPr>
          <w:rFonts w:hint="default"/>
        </w:rPr>
      </w:pPr>
      <w:bookmarkStart w:id="0" w:name="_GoBack"/>
      <w:bookmarkEnd w:id="0"/>
    </w:p>
    <w:p>
      <w:pPr>
        <w:pStyle w:val="2"/>
        <w:widowControl/>
        <w:jc w:val="center"/>
        <w:rPr>
          <w:rFonts w:hint="default"/>
        </w:rPr>
      </w:pPr>
      <w:r>
        <w:t>长城证券股份有限公司</w:t>
      </w:r>
    </w:p>
    <w:p>
      <w:pPr>
        <w:pStyle w:val="2"/>
        <w:widowControl/>
        <w:jc w:val="center"/>
        <w:rPr>
          <w:rFonts w:hint="default"/>
        </w:rPr>
      </w:pPr>
      <w:r>
        <w:t>深圳证券交易所质押式报价回购交易（长常盈）产品资料概览</w:t>
      </w:r>
    </w:p>
    <w:tbl>
      <w:tblPr>
        <w:tblStyle w:val="4"/>
        <w:tblW w:w="4700"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906"/>
        <w:gridCol w:w="50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gridSpan w:val="2"/>
            <w:shd w:val="clear" w:color="auto" w:fill="auto"/>
            <w:vAlign w:val="center"/>
          </w:tcPr>
          <w:p>
            <w:pPr>
              <w:pStyle w:val="3"/>
              <w:widowControl/>
              <w:wordWrap w:val="0"/>
              <w:spacing w:beforeAutospacing="1" w:afterAutospacing="1"/>
            </w:pPr>
            <w:r>
              <w:t>本产品与存款不同。</w:t>
            </w:r>
          </w:p>
          <w:p>
            <w:pPr>
              <w:pStyle w:val="3"/>
              <w:widowControl/>
              <w:wordWrap w:val="0"/>
              <w:spacing w:beforeAutospacing="1" w:afterAutospacing="1"/>
            </w:pPr>
            <w:r>
              <w:t>证券公司虽然提供质押担保，但投资本产品仍存在风险，请慎重决定。</w:t>
            </w:r>
          </w:p>
          <w:p>
            <w:pPr>
              <w:pStyle w:val="3"/>
              <w:widowControl/>
              <w:wordWrap w:val="0"/>
              <w:spacing w:beforeAutospacing="1" w:afterAutospacing="1"/>
            </w:pPr>
            <w:r>
              <w:t>本概览是产品销售文件的一部分。</w:t>
            </w:r>
          </w:p>
          <w:p>
            <w:pPr>
              <w:pStyle w:val="3"/>
              <w:widowControl/>
              <w:wordWrap w:val="0"/>
              <w:spacing w:beforeAutospacing="1" w:afterAutospacing="1"/>
            </w:pPr>
            <w:r>
              <w:t>请勿单凭本概览做出投资决定。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gridSpan w:val="2"/>
            <w:shd w:val="clear" w:color="auto" w:fill="auto"/>
            <w:vAlign w:val="center"/>
          </w:tcPr>
          <w:p>
            <w:pPr>
              <w:pStyle w:val="3"/>
              <w:widowControl/>
              <w:wordWrap w:val="0"/>
              <w:spacing w:beforeAutospacing="1" w:afterAutospacing="1"/>
              <w:rPr>
                <w:b/>
              </w:rPr>
            </w:pPr>
            <w:r>
              <w:rPr>
                <w:b/>
              </w:rPr>
              <w:t>信息便览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shd w:val="clear" w:color="auto" w:fill="auto"/>
            <w:vAlign w:val="center"/>
          </w:tcPr>
          <w:p>
            <w:pPr>
              <w:pStyle w:val="3"/>
              <w:widowControl/>
              <w:wordWrap w:val="0"/>
              <w:spacing w:beforeAutospacing="1" w:afterAutospacing="1"/>
            </w:pPr>
            <w:r>
              <w:rPr>
                <w:b/>
              </w:rPr>
              <w:t>客户门槛：</w:t>
            </w:r>
            <w:r>
              <w:t>在长城证券开立账户，初始参与金额在人民币1000元以上（包含1000元）。</w:t>
            </w:r>
          </w:p>
          <w:p>
            <w:pPr>
              <w:pStyle w:val="3"/>
              <w:widowControl/>
              <w:wordWrap w:val="0"/>
              <w:spacing w:beforeAutospacing="1" w:afterAutospacing="1"/>
              <w:rPr>
                <w:b/>
              </w:rPr>
            </w:pPr>
            <w:r>
              <w:rPr>
                <w:b/>
              </w:rPr>
              <w:t>交易品种：</w:t>
            </w:r>
          </w:p>
          <w:p>
            <w:pPr>
              <w:pStyle w:val="3"/>
              <w:widowControl/>
              <w:wordWrap w:val="0"/>
              <w:spacing w:beforeAutospacing="1" w:afterAutospacing="1"/>
            </w:pPr>
            <w:r>
              <w:t>（1）固定期限品种：1天、</w:t>
            </w:r>
            <w:r>
              <w:rPr>
                <w:rFonts w:hint="eastAsia"/>
              </w:rPr>
              <w:t>3</w:t>
            </w:r>
            <w:r>
              <w:t>天、</w:t>
            </w:r>
            <w:r>
              <w:rPr>
                <w:rFonts w:hint="eastAsia"/>
              </w:rPr>
              <w:t>7</w:t>
            </w:r>
            <w:r>
              <w:t>天、</w:t>
            </w:r>
            <w:r>
              <w:rPr>
                <w:rFonts w:hint="eastAsia"/>
              </w:rPr>
              <w:t>14</w:t>
            </w:r>
            <w:r>
              <w:t>天、</w:t>
            </w:r>
            <w:r>
              <w:rPr>
                <w:rFonts w:hint="eastAsia"/>
              </w:rPr>
              <w:t>28</w:t>
            </w:r>
            <w:r>
              <w:t>天、</w:t>
            </w:r>
            <w:r>
              <w:rPr>
                <w:rFonts w:hint="eastAsia"/>
              </w:rPr>
              <w:t>90</w:t>
            </w:r>
            <w:r>
              <w:t>天、</w:t>
            </w:r>
            <w:r>
              <w:rPr>
                <w:rFonts w:hint="eastAsia"/>
              </w:rPr>
              <w:t>180</w:t>
            </w:r>
            <w:r>
              <w:t>天、360天。</w:t>
            </w:r>
          </w:p>
          <w:p>
            <w:pPr>
              <w:pStyle w:val="3"/>
              <w:widowControl/>
              <w:wordWrap w:val="0"/>
              <w:spacing w:beforeAutospacing="1" w:afterAutospacing="1"/>
            </w:pPr>
            <w:r>
              <w:t>（2）灵活期限品种：一年内的任意整数天数。</w:t>
            </w:r>
          </w:p>
          <w:p>
            <w:pPr>
              <w:pStyle w:val="3"/>
              <w:widowControl/>
              <w:wordWrap w:val="0"/>
              <w:spacing w:beforeAutospacing="1" w:afterAutospacing="1"/>
            </w:pPr>
            <w:r>
              <w:rPr>
                <w:b/>
              </w:rPr>
              <w:t>可否中途参与交易品种：</w:t>
            </w:r>
            <w:r>
              <w:t>否</w:t>
            </w:r>
          </w:p>
          <w:p>
            <w:pPr>
              <w:pStyle w:val="3"/>
              <w:widowControl/>
              <w:wordWrap w:val="0"/>
              <w:spacing w:beforeAutospacing="1" w:afterAutospacing="1"/>
            </w:pPr>
            <w:r>
              <w:rPr>
                <w:b/>
              </w:rPr>
              <w:t>客户可否提前购回：</w:t>
            </w:r>
            <w:r>
              <w:t>含赎回权的产品可以</w:t>
            </w:r>
          </w:p>
          <w:p>
            <w:pPr>
              <w:pStyle w:val="3"/>
              <w:widowControl/>
              <w:wordWrap w:val="0"/>
              <w:spacing w:beforeAutospacing="1" w:afterAutospacing="1"/>
            </w:pPr>
            <w:r>
              <w:rPr>
                <w:b/>
              </w:rPr>
              <w:t>到期可否自动续做：</w:t>
            </w:r>
            <w:r>
              <w:rPr>
                <w:rFonts w:hint="eastAsia"/>
                <w:b w:val="0"/>
                <w:bCs/>
              </w:rPr>
              <w:t>视产品而定</w:t>
            </w:r>
          </w:p>
        </w:tc>
        <w:tc>
          <w:tcPr>
            <w:tcW w:w="0" w:type="auto"/>
            <w:shd w:val="clear" w:color="auto" w:fill="auto"/>
            <w:vAlign w:val="center"/>
          </w:tcPr>
          <w:p>
            <w:pPr>
              <w:pStyle w:val="3"/>
              <w:widowControl/>
              <w:wordWrap w:val="0"/>
              <w:spacing w:beforeAutospacing="1" w:afterAutospacing="1"/>
            </w:pPr>
            <w:r>
              <w:rPr>
                <w:b/>
              </w:rPr>
              <w:t>交易时间：</w:t>
            </w:r>
            <w:r>
              <w:t>初始交易委托时间为交易日9:15-11:30；13:00-15:30；提前购回委托的时间为交易日9:15-11:30</w:t>
            </w:r>
            <w:r>
              <w:rPr>
                <w:rFonts w:hint="eastAsia"/>
              </w:rPr>
              <w:t>，</w:t>
            </w:r>
            <w:r>
              <w:t>13:00-1</w:t>
            </w:r>
            <w:r>
              <w:rPr>
                <w:rFonts w:hint="eastAsia"/>
              </w:rPr>
              <w:t>4</w:t>
            </w:r>
            <w:r>
              <w:t>:</w:t>
            </w:r>
            <w:r>
              <w:rPr>
                <w:rFonts w:hint="eastAsia"/>
              </w:rPr>
              <w:t>45；续作终止</w:t>
            </w:r>
            <w:r>
              <w:t>委托的时间为交易日9:15-11:30</w:t>
            </w:r>
            <w:r>
              <w:rPr>
                <w:rFonts w:hint="eastAsia"/>
              </w:rPr>
              <w:t>，</w:t>
            </w:r>
            <w:r>
              <w:t>；13:00-1</w:t>
            </w:r>
            <w:r>
              <w:rPr>
                <w:rFonts w:hint="eastAsia"/>
              </w:rPr>
              <w:t>4</w:t>
            </w:r>
            <w:r>
              <w:t>:</w:t>
            </w:r>
            <w:r>
              <w:rPr>
                <w:rFonts w:hint="eastAsia"/>
              </w:rPr>
              <w:t>45</w:t>
            </w:r>
          </w:p>
          <w:p>
            <w:pPr>
              <w:pStyle w:val="3"/>
              <w:widowControl/>
              <w:wordWrap w:val="0"/>
              <w:spacing w:beforeAutospacing="1" w:afterAutospacing="1"/>
            </w:pPr>
            <w:r>
              <w:rPr>
                <w:b/>
              </w:rPr>
              <w:t>最低参与金额：</w:t>
            </w:r>
            <w:r>
              <w:t>（1）固定期限品种人民币1000元；（2）灵活期限品种人民币1000万元。</w:t>
            </w:r>
          </w:p>
          <w:p>
            <w:pPr>
              <w:pStyle w:val="3"/>
              <w:widowControl/>
              <w:wordWrap w:val="0"/>
              <w:spacing w:beforeAutospacing="1" w:afterAutospacing="1"/>
              <w:rPr>
                <w:b/>
                <w:bCs w:val="0"/>
                <w:u w:val="single"/>
              </w:rPr>
            </w:pPr>
            <w:r>
              <w:rPr>
                <w:b/>
                <w:u w:val="single"/>
              </w:rPr>
              <w:t>客户可否撤销委托：</w:t>
            </w:r>
            <w:r>
              <w:rPr>
                <w:b/>
                <w:bCs w:val="0"/>
                <w:u w:val="single"/>
              </w:rPr>
              <w:t>不可以</w:t>
            </w:r>
          </w:p>
          <w:p>
            <w:pPr>
              <w:pStyle w:val="3"/>
              <w:widowControl/>
              <w:wordWrap w:val="0"/>
              <w:spacing w:beforeAutospacing="1" w:afterAutospacing="1"/>
            </w:pPr>
            <w:r>
              <w:rPr>
                <w:b/>
              </w:rPr>
              <w:t>资金的可用、可取时间：</w:t>
            </w:r>
            <w:r>
              <w:t>本金到期日可用，本息次一交易日可取</w:t>
            </w:r>
          </w:p>
          <w:p>
            <w:pPr>
              <w:pStyle w:val="3"/>
              <w:widowControl/>
              <w:wordWrap w:val="0"/>
              <w:spacing w:beforeAutospacing="1" w:afterAutospacing="1"/>
            </w:pPr>
            <w:r>
              <w:rPr>
                <w:b/>
              </w:rPr>
              <w:t>质押物种类：</w:t>
            </w:r>
            <w:r>
              <w:t>符合深交所债券质押式回购交易相关规定的债券；基金份额；深交所和中国结算认可的其他证券；现金。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gridSpan w:val="2"/>
            <w:shd w:val="clear" w:color="auto" w:fill="auto"/>
            <w:vAlign w:val="center"/>
          </w:tcPr>
          <w:p>
            <w:pPr>
              <w:pStyle w:val="3"/>
              <w:widowControl/>
              <w:wordWrap w:val="0"/>
              <w:spacing w:beforeAutospacing="1" w:afterAutospacing="1"/>
              <w:rPr>
                <w:b/>
              </w:rPr>
            </w:pPr>
            <w:r>
              <w:rPr>
                <w:b/>
              </w:rPr>
              <w:t>什么是质押式报价回购？</w:t>
            </w:r>
          </w:p>
          <w:p>
            <w:pPr>
              <w:pStyle w:val="3"/>
              <w:widowControl/>
              <w:wordWrap w:val="0"/>
              <w:spacing w:beforeAutospacing="1" w:afterAutospacing="1"/>
            </w:pPr>
            <w:r>
              <w:t>是长城证券将符合相关规定的自有资产作为质押物，以质押物折算后的标准券数量所对应金额作为融资的额度，通过报价方式向投资者融入资金，到期后依约向投资者返还融入资金并支付相应收益的特定质押式回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gridSpan w:val="2"/>
            <w:shd w:val="clear" w:color="auto" w:fill="auto"/>
            <w:vAlign w:val="center"/>
          </w:tcPr>
          <w:p>
            <w:pPr>
              <w:pStyle w:val="3"/>
              <w:widowControl/>
              <w:wordWrap w:val="0"/>
              <w:spacing w:beforeAutospacing="1" w:afterAutospacing="1"/>
              <w:rPr>
                <w:b/>
              </w:rPr>
            </w:pPr>
            <w:r>
              <w:rPr>
                <w:b/>
              </w:rPr>
              <w:t>产品有哪些主要风险？</w:t>
            </w:r>
          </w:p>
          <w:p>
            <w:pPr>
              <w:pStyle w:val="3"/>
              <w:widowControl/>
              <w:wordWrap w:val="0"/>
              <w:spacing w:beforeAutospacing="1" w:afterAutospacing="1"/>
            </w:pPr>
            <w:r>
              <w:t>详情请参阅《长城证券股份有限公司深圳证券交易所质押式报价回购</w:t>
            </w:r>
            <w:r>
              <w:rPr>
                <w:rFonts w:hint="eastAsia"/>
              </w:rPr>
              <w:t>交易</w:t>
            </w:r>
            <w:r>
              <w:t>风险揭示书》。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gridSpan w:val="2"/>
            <w:shd w:val="clear" w:color="auto" w:fill="auto"/>
            <w:vAlign w:val="center"/>
          </w:tcPr>
          <w:p>
            <w:pPr>
              <w:pStyle w:val="3"/>
              <w:widowControl/>
              <w:wordWrap w:val="0"/>
              <w:spacing w:beforeAutospacing="1" w:afterAutospacing="1"/>
              <w:rPr>
                <w:b/>
              </w:rPr>
            </w:pPr>
            <w:r>
              <w:rPr>
                <w:b/>
              </w:rPr>
              <w:t>客户如何参与产品？</w:t>
            </w:r>
          </w:p>
          <w:p>
            <w:pPr>
              <w:pStyle w:val="3"/>
              <w:widowControl/>
              <w:wordWrap w:val="0"/>
              <w:spacing w:beforeAutospacing="1" w:afterAutospacing="1"/>
            </w:pPr>
            <w:r>
              <w:t>1、客户在证券公司开立深交所股东账户及资金账户；</w:t>
            </w:r>
          </w:p>
          <w:p>
            <w:pPr>
              <w:pStyle w:val="3"/>
              <w:widowControl/>
              <w:wordWrap w:val="0"/>
              <w:spacing w:beforeAutospacing="1" w:afterAutospacing="1"/>
            </w:pPr>
            <w:r>
              <w:t>2、客户向证券公司申请开通报价回购业务，并填写《</w:t>
            </w:r>
            <w:r>
              <w:rPr>
                <w:rFonts w:hint="eastAsia"/>
              </w:rPr>
              <w:t>长城证券股份有限公司深圳证券交易所质押式报价回购业务客户协议</w:t>
            </w:r>
            <w:r>
              <w:t>》和《长城证券股份有限公司深圳证券交易所质押式报价回购业务风险揭示书》后，由证券公司根据</w:t>
            </w:r>
            <w:r>
              <w:rPr>
                <w:rFonts w:hint="eastAsia"/>
              </w:rPr>
              <w:t>客户资金情况、适当性匹配情况等</w:t>
            </w:r>
            <w:r>
              <w:t>决定是否为客户开通该业务；</w:t>
            </w:r>
          </w:p>
          <w:p>
            <w:pPr>
              <w:pStyle w:val="3"/>
              <w:widowControl/>
              <w:wordWrap w:val="0"/>
              <w:spacing w:beforeAutospacing="1" w:afterAutospacing="1"/>
            </w:pPr>
            <w:r>
              <w:t>3、客户开通报价回购业务后，可以在公司网站上浏览每日各品种的报价；</w:t>
            </w:r>
          </w:p>
          <w:p>
            <w:pPr>
              <w:pStyle w:val="3"/>
              <w:widowControl/>
              <w:wordWrap w:val="0"/>
              <w:spacing w:beforeAutospacing="1" w:afterAutospacing="1"/>
            </w:pPr>
            <w:r>
              <w:t>4、客户根据自身流动性和收益的要求选择合适的产品，并通过公司网上交易系统或营业部柜台等交易方式进行委托；</w:t>
            </w:r>
          </w:p>
          <w:p>
            <w:pPr>
              <w:pStyle w:val="3"/>
              <w:widowControl/>
              <w:wordWrap w:val="0"/>
              <w:spacing w:beforeAutospacing="1" w:afterAutospacing="1"/>
            </w:pPr>
            <w:r>
              <w:t>5、客户发出委托的内容包括：申报时间、合同序号（含乙方指定的交易单元代码、申报日期、甲方所在营业部识别码、申报流水号）、交易类型、甲方证券账户号码、甲方交易单元代码、乙方指定的自营证券账户号码、证券代码、品种期限、到期回购日期、报价类型、初始交易申报价格、提前购回价格、申报数量、产品续做方式</w:t>
            </w:r>
            <w:r>
              <w:rPr>
                <w:rFonts w:hint="eastAsia"/>
              </w:rPr>
              <w:t>；</w:t>
            </w:r>
          </w:p>
          <w:p>
            <w:pPr>
              <w:pStyle w:val="3"/>
              <w:widowControl/>
              <w:wordWrap w:val="0"/>
              <w:spacing w:beforeAutospacing="1" w:afterAutospacing="1"/>
            </w:pPr>
            <w:r>
              <w:t>6、回购到期后客户无需发出委托，本金和利息由证券公司自动划入投资账户。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gridSpan w:val="2"/>
            <w:shd w:val="clear" w:color="auto" w:fill="auto"/>
            <w:vAlign w:val="center"/>
          </w:tcPr>
          <w:p>
            <w:pPr>
              <w:pStyle w:val="3"/>
              <w:widowControl/>
              <w:wordWrap w:val="0"/>
              <w:spacing w:beforeAutospacing="1" w:afterAutospacing="1"/>
              <w:rPr>
                <w:b/>
              </w:rPr>
            </w:pPr>
            <w:r>
              <w:rPr>
                <w:b/>
              </w:rPr>
              <w:t>客户如何退出该产品？</w:t>
            </w:r>
          </w:p>
          <w:p>
            <w:pPr>
              <w:pStyle w:val="3"/>
              <w:widowControl/>
              <w:wordWrap w:val="0"/>
              <w:spacing w:beforeAutospacing="1" w:afterAutospacing="1"/>
            </w:pPr>
            <w:r>
              <w:t>1、到期购回：初始交易委托时选择不自动续做的，产品到期时本金和利息自动返还客户账户中，T日可用，T+1日可取。到期购回无需提交委托指令；</w:t>
            </w:r>
          </w:p>
          <w:p>
            <w:pPr>
              <w:pStyle w:val="3"/>
              <w:widowControl/>
              <w:wordWrap w:val="0"/>
              <w:spacing w:beforeAutospacing="1" w:afterAutospacing="1"/>
            </w:pPr>
            <w:r>
              <w:t>2、提前购回：各品种均可申请提前购回，在新开回购成交当日可申请提前购回，证券公司按约定支付提前购回利率。</w:t>
            </w:r>
          </w:p>
          <w:p>
            <w:pPr>
              <w:pStyle w:val="3"/>
              <w:widowControl/>
              <w:wordWrap w:val="0"/>
              <w:spacing w:beforeAutospacing="1" w:afterAutospacing="1"/>
            </w:pPr>
            <w:r>
              <w:t>在任一交易日内，若当日提前购回总金额超过前一交易日未到期回购总余额的30%，或单个投资者当日提前终止委托累计金额超过人民币</w:t>
            </w:r>
            <w:r>
              <w:rPr>
                <w:rFonts w:hint="eastAsia"/>
              </w:rPr>
              <w:t>1</w:t>
            </w:r>
            <w:r>
              <w:t>000万元（含</w:t>
            </w:r>
            <w:r>
              <w:rPr>
                <w:rFonts w:hint="eastAsia"/>
              </w:rPr>
              <w:t>1</w:t>
            </w:r>
            <w:r>
              <w:t>000万元）且没有在前一交易日1</w:t>
            </w:r>
            <w:r>
              <w:rPr>
                <w:rFonts w:hint="eastAsia"/>
              </w:rPr>
              <w:t>4</w:t>
            </w:r>
            <w:r>
              <w:t>:</w:t>
            </w:r>
            <w:r>
              <w:rPr>
                <w:rFonts w:hint="eastAsia"/>
              </w:rPr>
              <w:t>45</w:t>
            </w:r>
            <w:r>
              <w:t>之前与公司预约，即认为发生大额赎回，公司有权拒绝提前终止委托申请</w:t>
            </w:r>
            <w:r>
              <w:rPr>
                <w:rFonts w:hint="eastAsia"/>
              </w:rPr>
              <w:t>；</w:t>
            </w:r>
          </w:p>
          <w:p>
            <w:pPr>
              <w:pStyle w:val="3"/>
              <w:widowControl/>
              <w:wordWrap w:val="0"/>
              <w:spacing w:beforeAutospacing="1" w:afterAutospacing="1"/>
            </w:pPr>
            <w:r>
              <w:t>3、不再续做：在自动续做期间，客户可以发出不再续做委托指令，终止自动续做功能。对于一笔回购交易，客户只可以发出全部取消续做指令，不可以发出部分取消续做指令。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gridSpan w:val="2"/>
            <w:shd w:val="clear" w:color="auto" w:fill="auto"/>
            <w:vAlign w:val="center"/>
          </w:tcPr>
          <w:p>
            <w:pPr>
              <w:pStyle w:val="3"/>
              <w:widowControl/>
              <w:wordWrap w:val="0"/>
              <w:spacing w:beforeAutospacing="1" w:afterAutospacing="1"/>
              <w:rPr>
                <w:b/>
              </w:rPr>
            </w:pPr>
            <w:r>
              <w:rPr>
                <w:b/>
              </w:rPr>
              <w:t>客户的收益与交易费用如何计算？</w:t>
            </w:r>
          </w:p>
          <w:p>
            <w:pPr>
              <w:pStyle w:val="3"/>
              <w:widowControl/>
              <w:wordWrap w:val="0"/>
              <w:spacing w:beforeAutospacing="1" w:afterAutospacing="1"/>
            </w:pPr>
            <w:r>
              <w:t>1、初始交易金额=初始交易成交数量×100；</w:t>
            </w:r>
          </w:p>
          <w:p>
            <w:pPr>
              <w:pStyle w:val="3"/>
              <w:widowControl/>
              <w:wordWrap w:val="0"/>
              <w:spacing w:beforeAutospacing="1" w:afterAutospacing="1"/>
            </w:pPr>
            <w:r>
              <w:t>2、单期交易提前购回交易金额=提前购回成交数量×（100+提前购回价格×实际回购天数/365）。实际回购天数=提前购回成交日对应的资金划付日-初始交易成交日对应的资金划付日；</w:t>
            </w:r>
          </w:p>
          <w:p>
            <w:pPr>
              <w:pStyle w:val="3"/>
              <w:widowControl/>
              <w:wordWrap w:val="0"/>
              <w:spacing w:beforeAutospacing="1" w:afterAutospacing="1"/>
            </w:pPr>
            <w:r>
              <w:t>3、单期交易到期购回金额=剩余成交数量×（100+初始交易成交价格×实际回购天数/365）。剩余成交数量为，到期购回日该笔交易的初始交易成交数量减去对应的提前购回成交数量后的余量；实际回购天数=到期购回日对应的资金划付日-初始交易成交日对应的资金划付日；</w:t>
            </w:r>
          </w:p>
          <w:p>
            <w:pPr>
              <w:pStyle w:val="3"/>
              <w:widowControl/>
              <w:wordWrap w:val="0"/>
              <w:spacing w:beforeAutospacing="1" w:afterAutospacing="1"/>
            </w:pPr>
            <w:r>
              <w:t>4、多期交易视为多个单期购回交易的组合，其中单期交易到期购回金额不包括剩余成交金额，剩余成交金额在多期交易全部到期或全部提前购回时一次性购回。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gridSpan w:val="2"/>
            <w:shd w:val="clear" w:color="auto" w:fill="auto"/>
            <w:vAlign w:val="center"/>
          </w:tcPr>
          <w:p>
            <w:pPr>
              <w:pStyle w:val="3"/>
              <w:widowControl/>
              <w:wordWrap w:val="0"/>
              <w:spacing w:beforeAutospacing="1" w:afterAutospacing="1"/>
              <w:rPr>
                <w:b/>
              </w:rPr>
            </w:pPr>
            <w:r>
              <w:rPr>
                <w:b/>
              </w:rPr>
              <w:t>有何种担保品？</w:t>
            </w:r>
          </w:p>
          <w:p>
            <w:pPr>
              <w:pStyle w:val="3"/>
              <w:widowControl/>
              <w:wordWrap w:val="0"/>
              <w:spacing w:beforeAutospacing="1" w:afterAutospacing="1"/>
            </w:pPr>
            <w:r>
              <w:t>长城证券提交以下自有资产作为质押物，每类质押物标准券折算率的确定方式为：</w:t>
            </w:r>
          </w:p>
          <w:p>
            <w:pPr>
              <w:pStyle w:val="3"/>
              <w:widowControl/>
              <w:wordWrap w:val="0"/>
              <w:spacing w:beforeAutospacing="1" w:afterAutospacing="1"/>
            </w:pPr>
            <w:r>
              <w:t>（1）符合深交所债券质押式回购交易相关规定的债券：标准券折算率适用《标准券折算率管理办法》；</w:t>
            </w:r>
          </w:p>
          <w:p>
            <w:pPr>
              <w:pStyle w:val="3"/>
              <w:widowControl/>
              <w:wordWrap w:val="0"/>
              <w:spacing w:beforeAutospacing="1" w:afterAutospacing="1"/>
            </w:pPr>
            <w:r>
              <w:t>（2）基金份额：经深交所和中国结算认可的第三方机构核定的标准券折算率；</w:t>
            </w:r>
          </w:p>
          <w:p>
            <w:pPr>
              <w:pStyle w:val="3"/>
              <w:widowControl/>
              <w:wordWrap w:val="0"/>
              <w:spacing w:beforeAutospacing="1" w:afterAutospacing="1"/>
            </w:pPr>
            <w:r>
              <w:t>（3）深交所和中国结算认可的其他证券：根据深交所和中国结算的另行规定进行计算；</w:t>
            </w:r>
          </w:p>
          <w:p>
            <w:pPr>
              <w:pStyle w:val="3"/>
              <w:widowControl/>
              <w:wordWrap w:val="0"/>
              <w:spacing w:beforeAutospacing="1" w:afterAutospacing="1"/>
            </w:pPr>
            <w:r>
              <w:t>（4）现金：标准券折算率为1。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gridSpan w:val="2"/>
            <w:shd w:val="clear" w:color="auto" w:fill="auto"/>
            <w:vAlign w:val="center"/>
          </w:tcPr>
          <w:p>
            <w:pPr>
              <w:pStyle w:val="3"/>
              <w:widowControl/>
              <w:wordWrap w:val="0"/>
              <w:spacing w:beforeAutospacing="1" w:afterAutospacing="1"/>
              <w:rPr>
                <w:b/>
              </w:rPr>
            </w:pPr>
            <w:r>
              <w:rPr>
                <w:b/>
              </w:rPr>
              <w:t>客户如何获得产品的后续信息？</w:t>
            </w:r>
          </w:p>
          <w:p>
            <w:pPr>
              <w:pStyle w:val="3"/>
              <w:widowControl/>
              <w:wordWrap w:val="0"/>
              <w:spacing w:beforeAutospacing="1" w:afterAutospacing="1"/>
            </w:pPr>
            <w:r>
              <w:t>客户可通过长城证券的官方网站浏览最新的产品信息、业务规则、交易指南、以及其他常见问题。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gridSpan w:val="2"/>
            <w:shd w:val="clear" w:color="auto" w:fill="auto"/>
            <w:vAlign w:val="center"/>
          </w:tcPr>
          <w:p>
            <w:pPr>
              <w:pStyle w:val="3"/>
              <w:widowControl/>
              <w:wordWrap w:val="0"/>
              <w:spacing w:beforeAutospacing="1" w:afterAutospacing="1"/>
              <w:rPr>
                <w:b/>
              </w:rPr>
            </w:pPr>
            <w:r>
              <w:rPr>
                <w:b/>
              </w:rPr>
              <w:t>客户的交易费用如何计算？</w:t>
            </w:r>
          </w:p>
          <w:p>
            <w:pPr>
              <w:pStyle w:val="3"/>
              <w:widowControl/>
              <w:wordWrap w:val="0"/>
              <w:spacing w:beforeAutospacing="1" w:afterAutospacing="1"/>
            </w:pPr>
            <w:r>
              <w:t>鉴于交易所目前对报价回购业务未收取任何交易费用，长城证券暂不就报价回购业务向客户收取佣金或交易费用。如交易所报价回购业务规则变更,需收取相关交易费用时，长城证券将按有关安排向客户收取相关交易费用，收费办法以长城证券的通知或公告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gridSpan w:val="2"/>
            <w:shd w:val="clear" w:color="auto" w:fill="auto"/>
            <w:vAlign w:val="center"/>
          </w:tcPr>
          <w:p>
            <w:pPr>
              <w:pStyle w:val="3"/>
              <w:widowControl/>
              <w:wordWrap w:val="0"/>
              <w:spacing w:beforeAutospacing="1" w:afterAutospacing="1"/>
              <w:rPr>
                <w:b/>
              </w:rPr>
            </w:pPr>
            <w:r>
              <w:rPr>
                <w:b/>
              </w:rPr>
              <w:t>联系我们</w:t>
            </w:r>
          </w:p>
          <w:p>
            <w:pPr>
              <w:pStyle w:val="3"/>
              <w:widowControl/>
              <w:wordWrap w:val="0"/>
              <w:spacing w:beforeAutospacing="1" w:afterAutospacing="1"/>
            </w:pPr>
            <w:r>
              <w:t>中文名称：长城证券股份有限公司</w:t>
            </w:r>
          </w:p>
          <w:p>
            <w:pPr>
              <w:pStyle w:val="3"/>
              <w:widowControl/>
              <w:wordWrap w:val="0"/>
              <w:spacing w:beforeAutospacing="1" w:afterAutospacing="1"/>
            </w:pPr>
            <w:r>
              <w:t>英文名称：China Great Wall Securities Co.,Ltd.</w:t>
            </w:r>
          </w:p>
          <w:p>
            <w:pPr>
              <w:pStyle w:val="3"/>
              <w:widowControl/>
              <w:wordWrap w:val="0"/>
              <w:spacing w:beforeAutospacing="1" w:afterAutospacing="1"/>
            </w:pPr>
            <w:r>
              <w:t>英文名称缩写：CGWS</w:t>
            </w:r>
          </w:p>
          <w:p>
            <w:pPr>
              <w:pStyle w:val="3"/>
              <w:widowControl/>
              <w:wordWrap w:val="0"/>
              <w:spacing w:beforeAutospacing="1" w:afterAutospacing="1"/>
            </w:pPr>
            <w:r>
              <w:t>通讯地址：深圳市福田区福田街道金田路2026号能源大厦南塔楼10-19层</w:t>
            </w:r>
          </w:p>
          <w:p>
            <w:pPr>
              <w:pStyle w:val="3"/>
              <w:widowControl/>
              <w:wordWrap w:val="0"/>
              <w:spacing w:beforeAutospacing="1" w:afterAutospacing="1"/>
            </w:pPr>
            <w:r>
              <w:t>邮政编码：518031</w:t>
            </w:r>
          </w:p>
          <w:p>
            <w:pPr>
              <w:pStyle w:val="3"/>
              <w:widowControl/>
              <w:wordWrap w:val="0"/>
              <w:spacing w:beforeAutospacing="1" w:afterAutospacing="1"/>
            </w:pPr>
            <w:r>
              <w:t>公司官网：http://www.cgws.com</w:t>
            </w:r>
          </w:p>
        </w:tc>
      </w:tr>
    </w:tbl>
    <w:p>
      <w:pPr>
        <w:widowControl/>
        <w:jc w:val="left"/>
      </w:pPr>
    </w:p>
    <w:p>
      <w:pPr>
        <w:pStyle w:val="3"/>
        <w:widowControl/>
        <w:spacing w:beforeAutospacing="1" w:afterAutospacing="1"/>
      </w:pPr>
      <w:r>
        <w:t>声明:本概览</w:t>
      </w:r>
      <w:r>
        <w:rPr>
          <w:rFonts w:hint="eastAsia"/>
        </w:rPr>
        <w:t>内容仅供投资者参考</w:t>
      </w:r>
      <w:r>
        <w:t>。</w:t>
      </w:r>
      <w:r>
        <w:rPr>
          <w:rFonts w:hint="eastAsia"/>
        </w:rPr>
        <w:t>投资自</w:t>
      </w:r>
      <w:r>
        <w:t>在</w:t>
      </w:r>
      <w:r>
        <w:rPr>
          <w:rFonts w:hint="eastAsia"/>
        </w:rPr>
        <w:t>决定</w:t>
      </w:r>
      <w:r>
        <w:t>参与报价回购交易前，应认真阅读相关业务规则、《</w:t>
      </w:r>
      <w:r>
        <w:rPr>
          <w:rFonts w:hint="eastAsia"/>
        </w:rPr>
        <w:t>长城证券股份有限公司深圳证券交易所质押式报价回购业务客户协议</w:t>
      </w:r>
      <w:r>
        <w:t>》</w:t>
      </w:r>
      <w:r>
        <w:rPr>
          <w:rFonts w:hint="eastAsia"/>
        </w:rPr>
        <w:t>、</w:t>
      </w:r>
      <w:r>
        <w:t>《长城证券股份有限公司深圳证券交易所质押式报价回购</w:t>
      </w:r>
      <w:r>
        <w:rPr>
          <w:rFonts w:hint="eastAsia"/>
        </w:rPr>
        <w:t>交易</w:t>
      </w:r>
      <w:r>
        <w:t>风险揭示书》</w:t>
      </w:r>
      <w:r>
        <w:rPr>
          <w:rFonts w:hint="eastAsia"/>
        </w:rPr>
        <w:t>及《长城证券质押式报价回购交易余额自动委托服务计划协议》</w:t>
      </w:r>
      <w:r>
        <w:t>，如有需要及时向证券公司咨询，并做好风险评估与财务安排，</w:t>
      </w:r>
      <w:r>
        <w:rPr>
          <w:rFonts w:hint="eastAsia"/>
        </w:rPr>
        <w:t>自行承担投资风险</w:t>
      </w:r>
      <w:r>
        <w:t>。</w:t>
      </w:r>
      <w:r>
        <w:rPr>
          <w:rFonts w:hint="eastAsia"/>
        </w:rPr>
        <w:t>如本产品概要宣传介绍文字与前述法律文件不一致的，以前述法律文件为准。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revisionView w:markup="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ZGEyYTA5NmQxMjVhZTZmYWU5OWM4Y2Y1YjVlNTYifQ=="/>
  </w:docVars>
  <w:rsids>
    <w:rsidRoot w:val="6D9DA45F"/>
    <w:rsid w:val="00B54F15"/>
    <w:rsid w:val="00C66E06"/>
    <w:rsid w:val="00FD16DE"/>
    <w:rsid w:val="1B446007"/>
    <w:rsid w:val="24021314"/>
    <w:rsid w:val="288372B6"/>
    <w:rsid w:val="3DEF4A3A"/>
    <w:rsid w:val="41513A69"/>
    <w:rsid w:val="6A3D2A2E"/>
    <w:rsid w:val="6D9DA45F"/>
    <w:rsid w:val="76EC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rPr>
      <w:sz w:val="24"/>
    </w:rPr>
  </w:style>
  <w:style w:type="paragraph" w:customStyle="1" w:styleId="6">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2446</Words>
  <Characters>2611</Characters>
  <Lines>19</Lines>
  <Paragraphs>5</Paragraphs>
  <TotalTime>1</TotalTime>
  <ScaleCrop>false</ScaleCrop>
  <LinksUpToDate>false</LinksUpToDate>
  <CharactersWithSpaces>2615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2024-05-31T10:41:00Z</dcterms:created>
  <dc:creator>nicoleyang</dc:creator>
  <cp:lastModifiedBy>刘秉鑫</cp:lastModifiedBy>
  <dcterms:modified xsi:type="dcterms:W3CDTF">2024-06-01T03:17:57Z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4B2D03C2FF904DEEB919404C0A2B6AA2_12</vt:lpwstr>
  </property>
  <property fmtid="{D5CDD505-2E9C-101B-9397-08002B2CF9AE}" pid="4" name="_KSOProductBuildMID">
    <vt:lpwstr>SKWMP6GE79VQ00BGRVR8IL097ZQ0OXVR9S0XOJD8XFGRTELT6MBJKC0PFSUHPFRRAXM6OOLJZHKD8IJJENFTPFF789EMWHWB8UOORHB3B6FE1829B4D2265F92FBB0185629004A</vt:lpwstr>
  </property>
  <property fmtid="{D5CDD505-2E9C-101B-9397-08002B2CF9AE}" pid="5" name="_KSOProductBuildSID">
    <vt:lpwstr>DPWFP6GQ79VA05BGQYR8ML0S7NNMOSYREU06BJEEXFBRTDLTZ7BJQCJTFSVHPFIRXOMXCOZNZH5D8MJJQNFTQF8D89Q0WMLBANOOYHB3B14664E96BE79EDEF1F6BC1B77F4DB94</vt:lpwstr>
  </property>
</Properties>
</file>