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C7" w:rsidRDefault="00444105">
      <w:pPr>
        <w:pStyle w:val="1"/>
        <w:spacing w:before="0" w:after="0" w:line="360" w:lineRule="auto"/>
        <w:jc w:val="center"/>
        <w:rPr>
          <w:rFonts w:asciiTheme="minorEastAsia" w:hAnsiTheme="minorEastAsia"/>
          <w:sz w:val="32"/>
          <w:szCs w:val="28"/>
        </w:rPr>
      </w:pPr>
      <w:r>
        <w:rPr>
          <w:rFonts w:asciiTheme="minorEastAsia" w:hAnsiTheme="minorEastAsia" w:hint="eastAsia"/>
          <w:sz w:val="32"/>
          <w:szCs w:val="28"/>
        </w:rPr>
        <w:t>长城证券股份有限公司深港通业务委托协议</w:t>
      </w:r>
    </w:p>
    <w:p w:rsidR="002670C7" w:rsidRDefault="002670C7">
      <w:pPr>
        <w:pStyle w:val="1"/>
        <w:spacing w:before="0" w:after="0" w:line="360" w:lineRule="auto"/>
        <w:jc w:val="center"/>
        <w:rPr>
          <w:rFonts w:asciiTheme="minorEastAsia" w:hAnsiTheme="minorEastAsia"/>
          <w:sz w:val="32"/>
          <w:szCs w:val="28"/>
        </w:rPr>
      </w:pP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甲方（委托人</w:t>
      </w:r>
      <w:r>
        <w:rPr>
          <w:rFonts w:asciiTheme="minorEastAsia" w:hAnsiTheme="minorEastAsia" w:cs="Times New Roman"/>
          <w:b/>
          <w:sz w:val="24"/>
          <w:szCs w:val="24"/>
        </w:rPr>
        <w:t xml:space="preserve">/投资者）： </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（自然人填写）</w:t>
      </w:r>
    </w:p>
    <w:p w:rsidR="002670C7" w:rsidRDefault="00444105">
      <w:pPr>
        <w:spacing w:line="440" w:lineRule="exact"/>
        <w:rPr>
          <w:rFonts w:asciiTheme="minorEastAsia" w:hAnsiTheme="minorEastAsia" w:cs="Times New Roman"/>
          <w:b/>
          <w:sz w:val="24"/>
          <w:szCs w:val="24"/>
          <w:u w:val="single"/>
        </w:rPr>
      </w:pPr>
      <w:r>
        <w:rPr>
          <w:rFonts w:asciiTheme="minorEastAsia" w:hAnsiTheme="minorEastAsia" w:cs="Times New Roman" w:hint="eastAsia"/>
          <w:b/>
          <w:sz w:val="24"/>
          <w:szCs w:val="24"/>
        </w:rPr>
        <w:t>姓名：</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住所：</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居民身份证号码：</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联系方式：</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（机构投资者填写）</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名称：</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住所：</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法定代表人或负责人：</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营业执照号码或机构代码证：</w:t>
      </w: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联系方式：</w:t>
      </w:r>
    </w:p>
    <w:p w:rsidR="002670C7" w:rsidRDefault="002670C7">
      <w:pPr>
        <w:spacing w:line="440" w:lineRule="exact"/>
        <w:rPr>
          <w:rFonts w:asciiTheme="minorEastAsia" w:hAnsiTheme="minorEastAsia" w:cs="Times New Roman"/>
          <w:b/>
          <w:sz w:val="24"/>
          <w:szCs w:val="24"/>
        </w:rPr>
      </w:pPr>
    </w:p>
    <w:p w:rsidR="002670C7" w:rsidRDefault="00444105">
      <w:pPr>
        <w:spacing w:line="440" w:lineRule="exact"/>
        <w:rPr>
          <w:rFonts w:asciiTheme="minorEastAsia" w:hAnsiTheme="minorEastAsia" w:cs="Times New Roman"/>
          <w:b/>
          <w:sz w:val="24"/>
          <w:szCs w:val="24"/>
        </w:rPr>
      </w:pPr>
      <w:r>
        <w:rPr>
          <w:rFonts w:asciiTheme="minorEastAsia" w:hAnsiTheme="minorEastAsia" w:cs="Times New Roman" w:hint="eastAsia"/>
          <w:b/>
          <w:sz w:val="24"/>
          <w:szCs w:val="24"/>
        </w:rPr>
        <w:t>乙方（证券公司）：</w:t>
      </w:r>
    </w:p>
    <w:p w:rsidR="002670C7" w:rsidRDefault="00444105">
      <w:pPr>
        <w:spacing w:line="440" w:lineRule="exact"/>
        <w:rPr>
          <w:rFonts w:asciiTheme="minorEastAsia" w:hAnsiTheme="minorEastAsia" w:cs="Times New Roman"/>
          <w:b/>
          <w:sz w:val="24"/>
          <w:szCs w:val="24"/>
        </w:rPr>
      </w:pPr>
      <w:r>
        <w:rPr>
          <w:rFonts w:asciiTheme="minorEastAsia" w:hAnsiTheme="minorEastAsia" w:hint="eastAsia"/>
          <w:b/>
          <w:sz w:val="24"/>
          <w:szCs w:val="24"/>
        </w:rPr>
        <w:t>名称</w:t>
      </w:r>
      <w:r>
        <w:rPr>
          <w:rFonts w:asciiTheme="minorEastAsia" w:hAnsiTheme="minorEastAsia" w:cs="Times New Roman" w:hint="eastAsia"/>
          <w:b/>
          <w:sz w:val="24"/>
          <w:szCs w:val="24"/>
        </w:rPr>
        <w:t>：长城证券股份有限公司</w:t>
      </w:r>
    </w:p>
    <w:p w:rsidR="002670C7" w:rsidRDefault="00444105">
      <w:pPr>
        <w:spacing w:line="440" w:lineRule="exact"/>
        <w:rPr>
          <w:rFonts w:asciiTheme="minorEastAsia" w:hAnsiTheme="minorEastAsia" w:cs="Times New Roman"/>
          <w:b/>
          <w:sz w:val="24"/>
          <w:szCs w:val="24"/>
        </w:rPr>
      </w:pPr>
      <w:r>
        <w:rPr>
          <w:rFonts w:asciiTheme="minorEastAsia" w:hAnsiTheme="minorEastAsia" w:hint="eastAsia"/>
          <w:b/>
          <w:sz w:val="24"/>
          <w:szCs w:val="24"/>
        </w:rPr>
        <w:t>住所</w:t>
      </w:r>
      <w:r>
        <w:rPr>
          <w:rFonts w:asciiTheme="minorEastAsia" w:hAnsiTheme="minorEastAsia" w:cs="Times New Roman" w:hint="eastAsia"/>
          <w:b/>
          <w:sz w:val="24"/>
          <w:szCs w:val="24"/>
        </w:rPr>
        <w:t xml:space="preserve">：深圳市福田区深南大道6008号特区报业大厦16、17楼 </w:t>
      </w:r>
    </w:p>
    <w:p w:rsidR="002670C7" w:rsidRDefault="00444105">
      <w:pPr>
        <w:spacing w:line="440" w:lineRule="exact"/>
        <w:rPr>
          <w:rFonts w:asciiTheme="minorEastAsia" w:hAnsiTheme="minorEastAsia" w:cs="Times New Roman"/>
          <w:b/>
          <w:sz w:val="24"/>
          <w:szCs w:val="24"/>
          <w:u w:val="single"/>
        </w:rPr>
      </w:pPr>
      <w:r>
        <w:rPr>
          <w:rFonts w:asciiTheme="minorEastAsia" w:hAnsiTheme="minorEastAsia" w:hint="eastAsia"/>
          <w:b/>
          <w:sz w:val="24"/>
          <w:szCs w:val="24"/>
        </w:rPr>
        <w:t>法定代表人</w:t>
      </w:r>
      <w:r>
        <w:rPr>
          <w:rFonts w:asciiTheme="minorEastAsia" w:hAnsiTheme="minorEastAsia" w:cs="Times New Roman" w:hint="eastAsia"/>
          <w:b/>
          <w:sz w:val="24"/>
          <w:szCs w:val="24"/>
        </w:rPr>
        <w:t>：丁益</w:t>
      </w:r>
    </w:p>
    <w:p w:rsidR="002670C7" w:rsidRDefault="00444105">
      <w:pPr>
        <w:spacing w:line="440" w:lineRule="exact"/>
        <w:rPr>
          <w:rFonts w:asciiTheme="minorEastAsia" w:hAnsiTheme="minorEastAsia"/>
          <w:b/>
          <w:sz w:val="24"/>
          <w:szCs w:val="24"/>
        </w:rPr>
      </w:pPr>
      <w:r>
        <w:rPr>
          <w:rFonts w:asciiTheme="minorEastAsia" w:hAnsiTheme="minorEastAsia" w:hint="eastAsia"/>
          <w:b/>
          <w:sz w:val="24"/>
          <w:szCs w:val="24"/>
        </w:rPr>
        <w:t>统一社会信用代码：91440300192431912U</w:t>
      </w:r>
    </w:p>
    <w:p w:rsidR="002670C7" w:rsidRDefault="00444105">
      <w:pPr>
        <w:spacing w:line="440" w:lineRule="exact"/>
        <w:rPr>
          <w:rFonts w:asciiTheme="minorEastAsia" w:hAnsiTheme="minorEastAsia"/>
          <w:b/>
          <w:sz w:val="24"/>
          <w:szCs w:val="24"/>
        </w:rPr>
      </w:pPr>
      <w:r>
        <w:rPr>
          <w:rFonts w:asciiTheme="minorEastAsia" w:hAnsiTheme="minorEastAsia" w:hint="eastAsia"/>
          <w:b/>
          <w:sz w:val="24"/>
          <w:szCs w:val="24"/>
        </w:rPr>
        <w:t>联系方式</w:t>
      </w:r>
      <w:r>
        <w:rPr>
          <w:rFonts w:asciiTheme="minorEastAsia" w:hAnsiTheme="minorEastAsia" w:cs="Times New Roman" w:hint="eastAsia"/>
          <w:b/>
          <w:sz w:val="24"/>
          <w:szCs w:val="24"/>
        </w:rPr>
        <w:t>：400-6666-8888</w:t>
      </w:r>
    </w:p>
    <w:p w:rsidR="002670C7" w:rsidRDefault="002670C7">
      <w:pPr>
        <w:spacing w:line="440" w:lineRule="exact"/>
        <w:ind w:firstLineChars="200" w:firstLine="480"/>
        <w:rPr>
          <w:rFonts w:asciiTheme="minorEastAsia" w:hAnsiTheme="minorEastAsia"/>
          <w:sz w:val="24"/>
        </w:rPr>
      </w:pP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依据《中华人民共和国证券法》、《中华人民共和国合同法》、《中华人民共和国电子签名法》和其他有关法律、法规、规章、自律规则、证券登记结算机构业务规则以及证券交易所交易规则等规定，甲乙双方就甲方委托乙方代理港股通交易及其他相关事宜达成如下协议，供双方共同遵守。</w:t>
      </w:r>
    </w:p>
    <w:p w:rsidR="002670C7" w:rsidRDefault="00485F90">
      <w:pPr>
        <w:spacing w:line="440" w:lineRule="exact"/>
        <w:ind w:firstLineChars="200" w:firstLine="480"/>
        <w:rPr>
          <w:rFonts w:asciiTheme="minorEastAsia" w:hAnsiTheme="minorEastAsia"/>
          <w:sz w:val="24"/>
        </w:rPr>
      </w:pPr>
      <w:r>
        <w:rPr>
          <w:rFonts w:asciiTheme="minorEastAsia" w:hAnsiTheme="minorEastAsia" w:hint="eastAsia"/>
          <w:sz w:val="24"/>
        </w:rPr>
        <w:t>本</w:t>
      </w:r>
      <w:r w:rsidR="00444105">
        <w:rPr>
          <w:rFonts w:asciiTheme="minorEastAsia" w:hAnsiTheme="minorEastAsia" w:hint="eastAsia"/>
          <w:sz w:val="24"/>
        </w:rPr>
        <w:t>协议所指港股通为深港通下的港股通。</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第一章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声明与承诺</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第一条</w:t>
      </w:r>
      <w:r w:rsidR="00C87B63">
        <w:rPr>
          <w:rFonts w:asciiTheme="minorEastAsia" w:hAnsiTheme="minorEastAsia" w:hint="eastAsia"/>
          <w:sz w:val="24"/>
          <w:szCs w:val="24"/>
        </w:rPr>
        <w:t xml:space="preserve"> </w:t>
      </w:r>
      <w:r>
        <w:rPr>
          <w:rFonts w:asciiTheme="minorEastAsia" w:hAnsiTheme="minorEastAsia" w:hint="eastAsia"/>
          <w:sz w:val="24"/>
          <w:szCs w:val="24"/>
        </w:rPr>
        <w:t>甲方签署本协议仅可委托乙方通过深港通下的港股通买卖港股通股</w:t>
      </w:r>
      <w:r>
        <w:rPr>
          <w:rFonts w:asciiTheme="minorEastAsia" w:hAnsiTheme="minorEastAsia" w:hint="eastAsia"/>
          <w:sz w:val="24"/>
          <w:szCs w:val="24"/>
        </w:rPr>
        <w:lastRenderedPageBreak/>
        <w:t>票。甲方通过深港通下的港股通买入的证券，暂不能通过沪港通下的港股通卖出；甲方通过沪港通下的港股通买入的证券，暂不能通过深港通下的港股通卖出。</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第二条</w:t>
      </w:r>
      <w:r w:rsidR="00C87B63">
        <w:rPr>
          <w:rFonts w:asciiTheme="minorEastAsia" w:hAnsiTheme="minorEastAsia" w:hint="eastAsia"/>
          <w:sz w:val="24"/>
          <w:szCs w:val="24"/>
        </w:rPr>
        <w:t xml:space="preserve"> </w:t>
      </w:r>
      <w:r>
        <w:rPr>
          <w:rFonts w:asciiTheme="minorEastAsia" w:hAnsiTheme="minorEastAsia" w:hint="eastAsia"/>
          <w:sz w:val="24"/>
          <w:szCs w:val="24"/>
        </w:rPr>
        <w:t>甲方向乙方作如下声明与承诺，包括但不限于：</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一）甲方已阅读并充分理解中国证监会《内地与香港股票市场交易互联互通机制若干规定》、深圳证券交易所（以下简称“深交所”）及中国证券登记结算有限责任公司（以下简称“中国结算”）关于港股通的业务规则以及乙方向其提供的《长城证券股份有限公司深港通业务交易风险揭示书》等相关文件，甲方具有合法的港股通交易资格，不存在相关法律、行政法规、部门规章、规范性文件以及业务规则等规定的禁止、限制或不适于参与港股通交易的情形；</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（二）甲方保证在其与乙方委托关系存续期内向乙方提供的所有证件、资料均真实、准确、完整、合法，且用于港股通交易的资金来源合法，并保证遵守国家反洗钱的相关规定；</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三）甲方已充分知晓港股通业务的适当性匹配结果以甲方填写的《客户风险承受能力问卷》等资料为基础,甲方保证如实填写问卷；甲方保证签署的《投资者风险承受能力评估结果告知书》是本人独立、自主、真实的意思表示。甲方承诺若本人的信息发生任何重大变化，可能影响本人适当性评估结果的，都会及时告知乙方，乙方将重新评估甲方的港股通业务适当性；</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四）甲方要求接受高于其风险承受能力等级的港股通服务时，乙方在确认其不属于风险承受能力最低类别的投资者后，甲方应签署《产品或服务风险警示及投资者确认书》，甲方保证签署的《产品或服务不适当警示及客户投资确认书》是本人独立、自主、真实的意思表示并自行承担责任；</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五）甲方已充分知晓本人的风险承受能力等级会根据本人的最新信息、交易行为记录等情况发生变化，若调整后的风险承受能力等级不匹配港股通业务的风险等级，乙方有权要求甲方到乙方营业部柜台签署《产品或服务风险警示及投资者确认书》</w:t>
      </w:r>
      <w:r w:rsidR="00FE6CA1">
        <w:rPr>
          <w:rFonts w:asciiTheme="minorEastAsia" w:hAnsiTheme="minorEastAsia" w:hint="eastAsia"/>
          <w:sz w:val="24"/>
          <w:szCs w:val="24"/>
        </w:rPr>
        <w:t>并对该过程录音录像</w:t>
      </w:r>
      <w:r>
        <w:rPr>
          <w:rFonts w:asciiTheme="minorEastAsia" w:hAnsiTheme="minorEastAsia" w:hint="eastAsia"/>
          <w:sz w:val="24"/>
          <w:szCs w:val="24"/>
        </w:rPr>
        <w:t>，否则乙方有权利向其停止港股通业务服务。若调整后的风险承受能力为最低类别，乙方有权利向其停止提供港股通业务服务，所造成的损失由甲方自行承担；</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（六）甲方已清楚知晓因不提供信息或提供的信息不真实、不准确、不完整的，导致乙方无法确定其投资者类别或风险承受能力等级的，乙方可拒绝为甲方提供港股通服务，由此产生的后果由甲方自行承担；</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（七）甲方已清楚认识并愿意承担从事港股通交易的相关风险，并已详细阅</w:t>
      </w:r>
      <w:r>
        <w:rPr>
          <w:rFonts w:asciiTheme="minorEastAsia" w:hAnsiTheme="minorEastAsia" w:hint="eastAsia"/>
          <w:sz w:val="24"/>
          <w:szCs w:val="24"/>
        </w:rPr>
        <w:lastRenderedPageBreak/>
        <w:t>读本协议所有条款和准确理解其含义，特别是其中有关乙方的免责条款；</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（八）甲方承诺遵守港股通交易的内地与香港相关法律、行政法规、部门规章、规范性文件、业务规则等规定，并承诺按照乙方的相关业务流程办理业务；</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（九）甲方承诺，同意由中国结算代甲方名义持有通过港股通取得的证券；</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（十）甲方承诺，将遵循买者自负原则，不以不符合投资者适当性条件为由，拒绝承担港股通交易及交收责任；</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十一）甲方已清楚知晓乙方履行投资者适当性职责不能取代本人的投资判断，不表明乙方对港股通业务的风险和收益做出实质性保证判断或者保证，不会降低港股通业务的固有风险，也不会影响其依法承担相应的投资风险、履约责任以及费用；</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（十二）甲方保证上述声明与承诺的内容皆为本人真实意愿，并自愿承担虚假陈述的一切后果；</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（十三）甲方为专业投资者的，不适用本条第（三）、（四）、（五）项。</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第三条</w:t>
      </w:r>
      <w:r w:rsidR="00C87B63">
        <w:rPr>
          <w:rFonts w:asciiTheme="minorEastAsia" w:hAnsiTheme="minorEastAsia" w:hint="eastAsia"/>
          <w:sz w:val="24"/>
          <w:szCs w:val="24"/>
        </w:rPr>
        <w:t xml:space="preserve"> </w:t>
      </w:r>
      <w:r>
        <w:rPr>
          <w:rFonts w:asciiTheme="minorEastAsia" w:hAnsiTheme="minorEastAsia" w:hint="eastAsia"/>
          <w:sz w:val="24"/>
          <w:szCs w:val="24"/>
        </w:rPr>
        <w:t>乙方向甲方作如下声明与承诺，包括但不限于：</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（一）乙方是依照内地法律设立且有效存续的证券经营机构，具有相应的证券经纪业务资格，已开通了港股通业务交易权限；</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二）乙方使用甲方提供的信息、资料建立投资者评估数据库，并利用投资者评估数据库及甲方交易行为记录等，持续跟踪和评估甲方风险承受能力，必要时调整甲方的风险承受能力等级及适当性匹配结果，并告知甲方调整情况；</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（三）乙方承诺将风险承受能力评估调整结果及适当性匹配结果交甲方签署确认，并以书面方式记载留存。书面方式包括纸质或电子形式；</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（四）乙方至少每两年对甲方的风险承受能力进行后续评估；</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（五）</w:t>
      </w:r>
      <w:r w:rsidR="00595A7C">
        <w:rPr>
          <w:rFonts w:asciiTheme="minorEastAsia" w:hAnsiTheme="minorEastAsia" w:hint="eastAsia"/>
          <w:sz w:val="24"/>
          <w:szCs w:val="24"/>
        </w:rPr>
        <w:t>乙方承诺遵守本协议，按本协议的约定为甲方提供港股通交易相关服务。</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第二章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委托事项</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第四条</w:t>
      </w:r>
      <w:r w:rsidR="00C87B63">
        <w:rPr>
          <w:rFonts w:asciiTheme="minorEastAsia" w:hAnsiTheme="minorEastAsia" w:hint="eastAsia"/>
          <w:sz w:val="24"/>
          <w:szCs w:val="24"/>
        </w:rPr>
        <w:t xml:space="preserve"> </w:t>
      </w:r>
      <w:r>
        <w:rPr>
          <w:rFonts w:asciiTheme="minorEastAsia" w:hAnsiTheme="minorEastAsia" w:hint="eastAsia"/>
          <w:sz w:val="24"/>
          <w:szCs w:val="24"/>
        </w:rPr>
        <w:t>乙方接受甲方委托为其提供以下服务：</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（一）接受并执行甲方依照本协议约定的方式下达的合法有效的委托指令；</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（二）进行资金、证券的清算、交收；</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（三）托管甲方买入或</w:t>
      </w:r>
      <w:r w:rsidR="00D54403">
        <w:rPr>
          <w:rFonts w:asciiTheme="minorEastAsia" w:hAnsiTheme="minorEastAsia" w:hint="eastAsia"/>
          <w:sz w:val="24"/>
          <w:szCs w:val="24"/>
        </w:rPr>
        <w:t>通过</w:t>
      </w:r>
      <w:r>
        <w:rPr>
          <w:rFonts w:asciiTheme="minorEastAsia" w:hAnsiTheme="minorEastAsia" w:hint="eastAsia"/>
          <w:sz w:val="24"/>
          <w:szCs w:val="24"/>
        </w:rPr>
        <w:t>其他方式取得的有价证券；</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（四）证券登记结算机构通过乙方向甲方提供的红利分派等名义持有人服务；</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lastRenderedPageBreak/>
        <w:t>（五）接受甲方对其委托、成交及账户内的资产及变化情况的查询，并应甲方的要求提供相应的清单；</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（六）相关法律、行政法规、部门规章、规范性文件、业务规则规定的甲方可以委托乙方进行的其他活动以及双方依法约定的其他委托事项。</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第五条</w:t>
      </w:r>
      <w:r w:rsidR="00C87B63">
        <w:rPr>
          <w:rFonts w:asciiTheme="minorEastAsia" w:hAnsiTheme="minorEastAsia" w:hint="eastAsia"/>
          <w:sz w:val="24"/>
          <w:szCs w:val="24"/>
        </w:rPr>
        <w:t xml:space="preserve"> </w:t>
      </w:r>
      <w:r>
        <w:rPr>
          <w:rFonts w:asciiTheme="minorEastAsia" w:hAnsiTheme="minorEastAsia" w:hint="eastAsia"/>
          <w:sz w:val="24"/>
          <w:szCs w:val="24"/>
        </w:rPr>
        <w:t>甲方在参与港股通交易前，应先依照法律法规、相关业务规则开立账户用于证券交易、清算交收和计付利息等。乙方代理中国结算开立证券账户，应遵循中国结算的有关规定。</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甲方可使用已经开立深市A股证券账户（深市人民币普通股证券账户）进行港股通交易。</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第六条</w:t>
      </w:r>
      <w:r w:rsidR="00C87B63">
        <w:rPr>
          <w:rFonts w:asciiTheme="minorEastAsia" w:hAnsiTheme="minorEastAsia" w:hint="eastAsia"/>
          <w:sz w:val="24"/>
          <w:szCs w:val="24"/>
        </w:rPr>
        <w:t xml:space="preserve"> </w:t>
      </w:r>
      <w:r>
        <w:rPr>
          <w:rFonts w:asciiTheme="minorEastAsia" w:hAnsiTheme="minorEastAsia" w:hint="eastAsia"/>
          <w:sz w:val="24"/>
          <w:szCs w:val="24"/>
        </w:rPr>
        <w:t>甲方存在当日有交易行为、当日有申报、有交易未完成交收或者深交所、中国结算业务规则规定的其他情形的，甲方不得注销证券账户。</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第七条</w:t>
      </w:r>
      <w:r w:rsidR="00C87B63">
        <w:rPr>
          <w:rFonts w:asciiTheme="minorEastAsia" w:hAnsiTheme="minorEastAsia" w:hint="eastAsia"/>
          <w:sz w:val="24"/>
          <w:szCs w:val="24"/>
        </w:rPr>
        <w:t xml:space="preserve"> </w:t>
      </w:r>
      <w:r>
        <w:rPr>
          <w:rFonts w:asciiTheme="minorEastAsia" w:hAnsiTheme="minorEastAsia" w:hint="eastAsia"/>
          <w:sz w:val="24"/>
          <w:szCs w:val="24"/>
        </w:rPr>
        <w:t>甲方新开证券账户的，自下一港股通同交易日起方可进行港股通交易；客户转托管股份，自下一港股通交易日方可卖出。</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第八条</w:t>
      </w:r>
      <w:r w:rsidR="00C87B63">
        <w:rPr>
          <w:rFonts w:asciiTheme="minorEastAsia" w:hAnsiTheme="minorEastAsia" w:hint="eastAsia"/>
          <w:sz w:val="24"/>
          <w:szCs w:val="24"/>
        </w:rPr>
        <w:t xml:space="preserve"> </w:t>
      </w:r>
      <w:r>
        <w:rPr>
          <w:rFonts w:asciiTheme="minorEastAsia" w:hAnsiTheme="minorEastAsia" w:hint="eastAsia"/>
          <w:sz w:val="24"/>
          <w:szCs w:val="24"/>
        </w:rPr>
        <w:t>甲方知晓并认可：其获得的香港证券市场免费一档行情，与付费方式获得的行情相比，在刷新频率、档位显示等方面存在差异；甲方应仅作为最终用户使用上述行情信息，未经香港联合交易所有限公司（以下简称</w:t>
      </w:r>
      <w:r>
        <w:rPr>
          <w:rFonts w:asciiTheme="minorEastAsia" w:hAnsiTheme="minorEastAsia"/>
          <w:sz w:val="24"/>
          <w:szCs w:val="24"/>
        </w:rPr>
        <w:t>“</w:t>
      </w:r>
      <w:r>
        <w:rPr>
          <w:rFonts w:asciiTheme="minorEastAsia" w:hAnsiTheme="minorEastAsia" w:hint="eastAsia"/>
          <w:sz w:val="24"/>
          <w:szCs w:val="24"/>
        </w:rPr>
        <w:t>联交所</w:t>
      </w:r>
      <w:r>
        <w:rPr>
          <w:rFonts w:asciiTheme="minorEastAsia" w:hAnsiTheme="minorEastAsia"/>
          <w:sz w:val="24"/>
          <w:szCs w:val="24"/>
        </w:rPr>
        <w:t>”</w:t>
      </w:r>
      <w:r>
        <w:rPr>
          <w:rFonts w:asciiTheme="minorEastAsia" w:hAnsiTheme="minorEastAsia" w:hint="eastAsia"/>
          <w:sz w:val="24"/>
          <w:szCs w:val="24"/>
        </w:rPr>
        <w:t>）同意不得将其提供给任何机构或个人，也不得用于开发指数或其他产品；联交所及其控股公司、该控股公司的附属公司等行情信息提供方，将尽力保证所提供上述行情信息的准确和可靠度，但不能确保其绝对准确和可靠，亦不对因信息不准确或遗漏而导致的任何损失或损害承担责任。乙方非行情提供方，不对行情信息不准确或遗漏导致的任何损失或损害承担责任。</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第三章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委托指令</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szCs w:val="24"/>
        </w:rPr>
        <w:t>第九条</w:t>
      </w:r>
      <w:r w:rsidR="00C87B63">
        <w:rPr>
          <w:rFonts w:asciiTheme="minorEastAsia" w:hAnsiTheme="minorEastAsia" w:hint="eastAsia"/>
          <w:sz w:val="24"/>
          <w:szCs w:val="24"/>
        </w:rPr>
        <w:t xml:space="preserve"> </w:t>
      </w:r>
      <w:r>
        <w:rPr>
          <w:rFonts w:asciiTheme="minorEastAsia" w:hAnsiTheme="minorEastAsia" w:hint="eastAsia"/>
          <w:sz w:val="24"/>
        </w:rPr>
        <w:t>甲方向乙方下达委托指令的方式包括柜台委托、自助委托以及乙方认可的其他合法委托方式，自助委托包括网上委托、电话委托、热键委托等，具体委托方式以甲方实际开通为准。</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第十条</w:t>
      </w:r>
      <w:r w:rsidR="00C87B63">
        <w:rPr>
          <w:rFonts w:asciiTheme="minorEastAsia" w:hAnsiTheme="minorEastAsia" w:hint="eastAsia"/>
          <w:sz w:val="24"/>
        </w:rPr>
        <w:t xml:space="preserve"> </w:t>
      </w:r>
      <w:r>
        <w:rPr>
          <w:rFonts w:asciiTheme="minorEastAsia" w:hAnsiTheme="minorEastAsia" w:hint="eastAsia"/>
          <w:sz w:val="24"/>
        </w:rPr>
        <w:t>甲方进行网上委托时，只能使用乙方直接提供给甲方的软件，或甲方依照乙方指示从乙方指定站点下载的软件。甲方使用其他途径获得的软件进行网上委托所产生的后果、风险和损失均由甲方自行承担。</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网上委托是指甲方通过互联网或移动通讯网络向乙方网上委托系统下达委托指令、获取成交结果的服务方式。网上委托的上网终端包括电子计算机、手机</w:t>
      </w:r>
      <w:r>
        <w:rPr>
          <w:rFonts w:asciiTheme="minorEastAsia" w:hAnsiTheme="minorEastAsia" w:hint="eastAsia"/>
          <w:sz w:val="24"/>
        </w:rPr>
        <w:lastRenderedPageBreak/>
        <w:t>等通过互联网或移动通讯网络连接乙方网上委托系统的设备。</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第十一条</w:t>
      </w:r>
      <w:r w:rsidR="00C87B63">
        <w:rPr>
          <w:rFonts w:asciiTheme="minorEastAsia" w:hAnsiTheme="minorEastAsia" w:hint="eastAsia"/>
          <w:sz w:val="24"/>
        </w:rPr>
        <w:t xml:space="preserve"> </w:t>
      </w:r>
      <w:r>
        <w:rPr>
          <w:rFonts w:asciiTheme="minorEastAsia" w:hAnsiTheme="minorEastAsia" w:hint="eastAsia"/>
          <w:sz w:val="24"/>
        </w:rPr>
        <w:t>甲乙双方可以书面方式约定本协议第九条约定的委托方式之外的其他委托方式，并约定该委托方式的执行程序、身份验证方式等内容。</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第十二条</w:t>
      </w:r>
      <w:r w:rsidR="00C87B63">
        <w:rPr>
          <w:rFonts w:asciiTheme="minorEastAsia" w:hAnsiTheme="minorEastAsia" w:hint="eastAsia"/>
          <w:sz w:val="24"/>
        </w:rPr>
        <w:t xml:space="preserve"> </w:t>
      </w:r>
      <w:r>
        <w:rPr>
          <w:rFonts w:asciiTheme="minorEastAsia" w:hAnsiTheme="minorEastAsia" w:hint="eastAsia"/>
          <w:sz w:val="24"/>
        </w:rPr>
        <w:t>甲方应同时开通多种委托方式，当乙方某种自助委托系统出现故障或其他异常情况时，甲方可采用其他委托方式下达委托指令。</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第十三条</w:t>
      </w:r>
      <w:r w:rsidR="00C87B63">
        <w:rPr>
          <w:rFonts w:asciiTheme="minorEastAsia" w:hAnsiTheme="minorEastAsia" w:hint="eastAsia"/>
          <w:sz w:val="24"/>
        </w:rPr>
        <w:t xml:space="preserve"> </w:t>
      </w:r>
      <w:r>
        <w:rPr>
          <w:rFonts w:asciiTheme="minorEastAsia" w:hAnsiTheme="minorEastAsia" w:hint="eastAsia"/>
          <w:sz w:val="24"/>
        </w:rPr>
        <w:t>甲方的交易委托必须符合法律法规和证券交易所交易规则等规定。对于甲方存在或可能存在香港证券监管机构和联交所规定的失当行为，乙方将对甲方予以提醒，并有权拒绝接受甲方的委托，且不承担任何违约或赔偿责任。</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第十四条</w:t>
      </w:r>
      <w:r w:rsidR="00C87B63">
        <w:rPr>
          <w:rFonts w:asciiTheme="minorEastAsia" w:hAnsiTheme="minorEastAsia"/>
          <w:sz w:val="24"/>
        </w:rPr>
        <w:t xml:space="preserve"> </w:t>
      </w:r>
      <w:r>
        <w:rPr>
          <w:rFonts w:asciiTheme="minorEastAsia" w:hAnsiTheme="minorEastAsia"/>
          <w:sz w:val="24"/>
        </w:rPr>
        <w:t>甲方委托乙方买卖证券时应保证其账户中有足额的可用资金或证券，</w:t>
      </w:r>
      <w:r>
        <w:rPr>
          <w:rFonts w:asciiTheme="minorEastAsia" w:hAnsiTheme="minorEastAsia" w:hint="eastAsia"/>
          <w:sz w:val="24"/>
          <w:szCs w:val="24"/>
        </w:rPr>
        <w:t>并同意按乙方规定标准在账户中预留资金人民币十元</w:t>
      </w:r>
      <w:r>
        <w:rPr>
          <w:rFonts w:asciiTheme="minorEastAsia" w:hAnsiTheme="minorEastAsia"/>
          <w:sz w:val="24"/>
        </w:rPr>
        <w:t>或按乙方规定比例在委托申报时冻结交易资金，以保证根据成交结果承担相应的清算交收责任，否则乙方有权拒绝</w:t>
      </w:r>
      <w:r>
        <w:rPr>
          <w:rFonts w:asciiTheme="minorEastAsia" w:hAnsiTheme="minorEastAsia" w:hint="eastAsia"/>
          <w:sz w:val="24"/>
        </w:rPr>
        <w:t>接受甲方的委托指令。</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第十五条</w:t>
      </w:r>
      <w:r w:rsidR="00C87B63">
        <w:rPr>
          <w:rFonts w:asciiTheme="minorEastAsia" w:hAnsiTheme="minorEastAsia" w:hint="eastAsia"/>
          <w:sz w:val="24"/>
          <w:szCs w:val="24"/>
        </w:rPr>
        <w:t xml:space="preserve"> </w:t>
      </w:r>
      <w:r>
        <w:rPr>
          <w:rFonts w:asciiTheme="minorEastAsia" w:hAnsiTheme="minorEastAsia" w:hint="eastAsia"/>
          <w:sz w:val="24"/>
          <w:szCs w:val="24"/>
        </w:rPr>
        <w:t>甲方委托乙方进行港股通交易而发出的委托及撤销委托等指令的内容和方式应当符合证券交易所相关规则。</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甲方通过乙方委托系统进行港股通交易时，如因甲方操作失误或因甲方指令违反相关交易规则或本协议约定，或其他可归咎于甲方的原因而造成损失的，由甲方自行承担。</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第十六条</w:t>
      </w:r>
      <w:r w:rsidR="00C87B63">
        <w:rPr>
          <w:rFonts w:asciiTheme="minorEastAsia" w:hAnsiTheme="minorEastAsia" w:hint="eastAsia"/>
          <w:sz w:val="24"/>
        </w:rPr>
        <w:t xml:space="preserve"> </w:t>
      </w:r>
      <w:r>
        <w:rPr>
          <w:rFonts w:asciiTheme="minorEastAsia" w:hAnsiTheme="minorEastAsia" w:hint="eastAsia"/>
          <w:sz w:val="24"/>
        </w:rPr>
        <w:t>如甲方发出的指令被乙方委托系统或证券交易所交易系统拒绝受理，则该委托应视为无效委托。</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甲方在进行委托前须确保已完全了解并知悉有关交易规则，避免发出无效委托指令。因无效委托导致的后果、风险和损失，由甲方承担。</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第十七条</w:t>
      </w:r>
      <w:r w:rsidR="00C87B63">
        <w:rPr>
          <w:rFonts w:asciiTheme="minorEastAsia" w:hAnsiTheme="minorEastAsia" w:hint="eastAsia"/>
          <w:sz w:val="24"/>
        </w:rPr>
        <w:t xml:space="preserve"> </w:t>
      </w:r>
      <w:r>
        <w:rPr>
          <w:rFonts w:asciiTheme="minorEastAsia" w:hAnsiTheme="minorEastAsia" w:hint="eastAsia"/>
          <w:sz w:val="24"/>
        </w:rPr>
        <w:t>乙方接受甲方委托</w:t>
      </w:r>
      <w:bookmarkStart w:id="0" w:name="_GoBack"/>
      <w:bookmarkEnd w:id="0"/>
      <w:r>
        <w:rPr>
          <w:rFonts w:asciiTheme="minorEastAsia" w:hAnsiTheme="minorEastAsia" w:hint="eastAsia"/>
          <w:sz w:val="24"/>
        </w:rPr>
        <w:t>指令时，如果出现由于甲方原委托指令未撤销而造成乙方无法执行甲方新的委托指令时，由此导致的后果、风险和损失，由甲方承担。</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第十八条</w:t>
      </w:r>
      <w:r w:rsidR="00C87B63">
        <w:rPr>
          <w:rFonts w:asciiTheme="minorEastAsia" w:hAnsiTheme="minorEastAsia" w:hint="eastAsia"/>
          <w:sz w:val="24"/>
        </w:rPr>
        <w:t xml:space="preserve"> </w:t>
      </w:r>
      <w:r>
        <w:rPr>
          <w:rFonts w:asciiTheme="minorEastAsia" w:hAnsiTheme="minorEastAsia" w:hint="eastAsia"/>
          <w:sz w:val="24"/>
        </w:rPr>
        <w:t>甲方在委托有效期内可对未显示成交回报的委托发出撤销委托指令（交易规则另有规定的除外），但由于市场价格随时波动及成交回报速度的原因，甲方的撤销委托指令虽经乙方发出，但甲方委托可能已在市场成交，此时甲方应承认并接受该成交结果，乙方对此不承担任何责任。</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第十九条</w:t>
      </w:r>
      <w:r w:rsidR="00C87B63">
        <w:rPr>
          <w:rFonts w:asciiTheme="minorEastAsia" w:hAnsiTheme="minorEastAsia" w:hint="eastAsia"/>
          <w:sz w:val="24"/>
        </w:rPr>
        <w:t xml:space="preserve"> </w:t>
      </w:r>
      <w:r>
        <w:rPr>
          <w:rFonts w:asciiTheme="minorEastAsia" w:hAnsiTheme="minorEastAsia" w:hint="eastAsia"/>
          <w:sz w:val="24"/>
        </w:rPr>
        <w:t>甲方委托指令成交与否以证券登记结算机构发送的清算数据为准，成交即时回报仅供参考。由于市场或设备、网络通讯等技术原因，如果出现高于甲方委托卖出价格或者低于甲方委托买入价格的成交价后长时间仍无成交即时</w:t>
      </w:r>
      <w:r>
        <w:rPr>
          <w:rFonts w:asciiTheme="minorEastAsia" w:hAnsiTheme="minorEastAsia" w:hint="eastAsia"/>
          <w:sz w:val="24"/>
        </w:rPr>
        <w:lastRenderedPageBreak/>
        <w:t>回报的情况，此时甲方委托指令成交与否一律以证券登记结算机构发送的清算数据为准。</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第二十条</w:t>
      </w:r>
      <w:r w:rsidR="00C87B63">
        <w:rPr>
          <w:rFonts w:asciiTheme="minorEastAsia" w:hAnsiTheme="minorEastAsia" w:hint="eastAsia"/>
          <w:sz w:val="24"/>
        </w:rPr>
        <w:t xml:space="preserve"> </w:t>
      </w:r>
      <w:r>
        <w:rPr>
          <w:rFonts w:asciiTheme="minorEastAsia" w:hAnsiTheme="minorEastAsia" w:hint="eastAsia"/>
          <w:sz w:val="24"/>
        </w:rPr>
        <w:t>甲方申请办理托管单元变更（整体转托管除外）时，乙方应提醒甲方，对于持股基准日晚于转托管申报日的投票、境内申报截止日转托管申报日的股利选择权申报及供股、配股认购申报，转出股份相应的投票和申报指令将作无效处理，甲方需在新托管单元重新申报。因未重新申报导致的后果、风险和损失，由甲方承担。</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乙方有义务检查甲方申请办理证券转托管时是否享有权益，如有，应提醒其是否需要将权益一并转出，申报选择股利经确认的红利权、收购权除外。</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甲方申请办理证券转托管时，以下情形不允许转托管：</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一</w:t>
      </w:r>
      <w:r>
        <w:rPr>
          <w:rFonts w:asciiTheme="minorEastAsia" w:hAnsiTheme="minorEastAsia"/>
          <w:sz w:val="24"/>
        </w:rPr>
        <w:t>）</w:t>
      </w:r>
      <w:r>
        <w:rPr>
          <w:rFonts w:asciiTheme="minorEastAsia" w:hAnsiTheme="minorEastAsia" w:hint="eastAsia"/>
          <w:sz w:val="24"/>
        </w:rPr>
        <w:t>未完成交收的证券（当日日终交收到账的除外），</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二</w:t>
      </w:r>
      <w:r>
        <w:rPr>
          <w:rFonts w:asciiTheme="minorEastAsia" w:hAnsiTheme="minorEastAsia"/>
          <w:sz w:val="24"/>
        </w:rPr>
        <w:t>）</w:t>
      </w:r>
      <w:r>
        <w:rPr>
          <w:rFonts w:asciiTheme="minorEastAsia" w:hAnsiTheme="minorEastAsia" w:hint="eastAsia"/>
          <w:sz w:val="24"/>
        </w:rPr>
        <w:t>冻结的证券、权益；</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三</w:t>
      </w:r>
      <w:r>
        <w:rPr>
          <w:rFonts w:asciiTheme="minorEastAsia" w:hAnsiTheme="minorEastAsia"/>
          <w:sz w:val="24"/>
        </w:rPr>
        <w:t>）</w:t>
      </w:r>
      <w:r>
        <w:rPr>
          <w:rFonts w:asciiTheme="minorEastAsia" w:hAnsiTheme="minorEastAsia" w:hint="eastAsia"/>
          <w:sz w:val="24"/>
        </w:rPr>
        <w:t>分拆及合并业务临时代码额度换算期间的原股票代码；</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四</w:t>
      </w:r>
      <w:r>
        <w:rPr>
          <w:rFonts w:asciiTheme="minorEastAsia" w:hAnsiTheme="minorEastAsia"/>
          <w:sz w:val="24"/>
        </w:rPr>
        <w:t>）</w:t>
      </w:r>
      <w:r>
        <w:rPr>
          <w:rFonts w:asciiTheme="minorEastAsia" w:hAnsiTheme="minorEastAsia" w:hint="eastAsia"/>
          <w:sz w:val="24"/>
        </w:rPr>
        <w:t>申报选择股利经确认的红利权、收购权、股利选择权申报、供股配股认购申报、投票等委托类指令；</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五</w:t>
      </w:r>
      <w:r>
        <w:rPr>
          <w:rFonts w:asciiTheme="minorEastAsia" w:hAnsiTheme="minorEastAsia"/>
          <w:sz w:val="24"/>
        </w:rPr>
        <w:t>）甲方账户为不合格账户、休眠账户的；</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六</w:t>
      </w:r>
      <w:r>
        <w:rPr>
          <w:rFonts w:asciiTheme="minorEastAsia" w:hAnsiTheme="minorEastAsia"/>
          <w:sz w:val="24"/>
        </w:rPr>
        <w:t>）</w:t>
      </w:r>
      <w:r>
        <w:rPr>
          <w:rFonts w:asciiTheme="minorEastAsia" w:hAnsiTheme="minorEastAsia" w:hint="eastAsia"/>
          <w:sz w:val="24"/>
        </w:rPr>
        <w:t>甲方账户上存在未了结债权债务的；</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七</w:t>
      </w:r>
      <w:r>
        <w:rPr>
          <w:rFonts w:asciiTheme="minorEastAsia" w:hAnsiTheme="minorEastAsia"/>
          <w:sz w:val="24"/>
        </w:rPr>
        <w:t>）</w:t>
      </w:r>
      <w:r>
        <w:rPr>
          <w:rFonts w:asciiTheme="minorEastAsia" w:hAnsiTheme="minorEastAsia" w:hint="eastAsia"/>
          <w:sz w:val="24"/>
        </w:rPr>
        <w:t>甲方账户为异常状态（如司法冻结等情形）的；</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八</w:t>
      </w:r>
      <w:r>
        <w:rPr>
          <w:rFonts w:asciiTheme="minorEastAsia" w:hAnsiTheme="minorEastAsia"/>
          <w:sz w:val="24"/>
        </w:rPr>
        <w:t>）</w:t>
      </w:r>
      <w:r>
        <w:rPr>
          <w:rFonts w:asciiTheme="minorEastAsia" w:hAnsiTheme="minorEastAsia" w:hint="eastAsia"/>
          <w:sz w:val="24"/>
        </w:rPr>
        <w:t>相关法律法规、证券登记结算机构业务规则和证券交易所交易规则规定的或者甲乙双方约定的其他情形的。</w:t>
      </w:r>
    </w:p>
    <w:p w:rsidR="002670C7" w:rsidRDefault="00C87B63" w:rsidP="00F7732E">
      <w:pPr>
        <w:spacing w:line="440" w:lineRule="exact"/>
        <w:ind w:firstLineChars="177" w:firstLine="425"/>
        <w:rPr>
          <w:rFonts w:asciiTheme="minorEastAsia" w:hAnsiTheme="minorEastAsia"/>
          <w:sz w:val="24"/>
        </w:rPr>
      </w:pPr>
      <w:r>
        <w:rPr>
          <w:rFonts w:asciiTheme="minorEastAsia" w:hAnsiTheme="minorEastAsia" w:hint="eastAsia"/>
          <w:sz w:val="24"/>
        </w:rPr>
        <w:t xml:space="preserve">第二十一条 </w:t>
      </w:r>
      <w:r w:rsidR="00444105">
        <w:rPr>
          <w:rFonts w:asciiTheme="minorEastAsia" w:hAnsiTheme="minorEastAsia" w:hint="eastAsia"/>
          <w:sz w:val="24"/>
        </w:rPr>
        <w:t>甲方应特别注意，甲方暂不能通过港股通业务参与新股发行认购、超额供股和超额公开配售。</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第二十二条</w:t>
      </w:r>
      <w:r w:rsidR="00C87B63">
        <w:rPr>
          <w:rFonts w:asciiTheme="minorEastAsia" w:hAnsiTheme="minorEastAsia" w:hint="eastAsia"/>
          <w:sz w:val="24"/>
        </w:rPr>
        <w:t xml:space="preserve"> </w:t>
      </w:r>
      <w:r>
        <w:rPr>
          <w:rFonts w:asciiTheme="minorEastAsia" w:hAnsiTheme="minorEastAsia" w:hint="eastAsia"/>
          <w:sz w:val="24"/>
        </w:rPr>
        <w:t>甲方发现以下异常情形时，应立即通知乙方，以保证甲方的正常交易能够尽快恢复：</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（一）证券交易所已开市，甲方无法进入委托交易系统；</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（二）甲方发现账户中资产余额、委托记录有异常；</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（三）甲方发现有人在未经任何授权的情况下使用其数字证书或账户密码；</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（四）甲方发现其他影响其正常交易的异常情形。</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出现上述系统异常情形时，如甲方未能立即通知乙方，由此而导致的后果、损失和风险，由甲方自行承担。</w:t>
      </w:r>
    </w:p>
    <w:p w:rsidR="002670C7" w:rsidRDefault="00C87B63" w:rsidP="00F7732E">
      <w:pPr>
        <w:spacing w:line="440" w:lineRule="exact"/>
        <w:ind w:firstLineChars="177" w:firstLine="425"/>
        <w:rPr>
          <w:rFonts w:asciiTheme="minorEastAsia" w:hAnsiTheme="minorEastAsia"/>
          <w:sz w:val="24"/>
        </w:rPr>
      </w:pPr>
      <w:r>
        <w:rPr>
          <w:rFonts w:asciiTheme="minorEastAsia" w:hAnsiTheme="minorEastAsia" w:hint="eastAsia"/>
          <w:sz w:val="24"/>
        </w:rPr>
        <w:t xml:space="preserve">第二十三条 </w:t>
      </w:r>
      <w:r w:rsidR="00444105">
        <w:rPr>
          <w:rFonts w:asciiTheme="minorEastAsia" w:hAnsiTheme="minorEastAsia" w:hint="eastAsia"/>
          <w:sz w:val="24"/>
        </w:rPr>
        <w:t>甲方应在委托指令下达后三个港股通交易日内向乙方查询该委</w:t>
      </w:r>
      <w:r w:rsidR="00444105">
        <w:rPr>
          <w:rFonts w:asciiTheme="minorEastAsia" w:hAnsiTheme="minorEastAsia" w:hint="eastAsia"/>
          <w:sz w:val="24"/>
        </w:rPr>
        <w:lastRenderedPageBreak/>
        <w:t>托结果，如甲方对委托结果有异议或发现任何系统异常情况，须在查询当日以书面形式向乙方提出质询。</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甲方逾期未办理查询或未在查询当日对有异议的查询结果以书面方式向乙方提出质询的，视同甲方对该委托结果无异议。</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第四章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交收与结算</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第二十四条</w:t>
      </w:r>
      <w:r w:rsidR="00C87B63">
        <w:rPr>
          <w:rFonts w:asciiTheme="minorEastAsia" w:hAnsiTheme="minorEastAsia" w:hint="eastAsia"/>
          <w:sz w:val="24"/>
          <w:szCs w:val="24"/>
        </w:rPr>
        <w:t xml:space="preserve"> </w:t>
      </w:r>
      <w:r>
        <w:rPr>
          <w:rFonts w:asciiTheme="minorEastAsia" w:hAnsiTheme="minorEastAsia" w:hint="eastAsia"/>
          <w:sz w:val="24"/>
          <w:szCs w:val="24"/>
        </w:rPr>
        <w:t>甲方知晓并认可中国结算按照香港中央结算有限公司（以下简称</w:t>
      </w:r>
      <w:r>
        <w:rPr>
          <w:rFonts w:asciiTheme="minorEastAsia" w:hAnsiTheme="minorEastAsia"/>
          <w:sz w:val="24"/>
          <w:szCs w:val="24"/>
        </w:rPr>
        <w:t>“</w:t>
      </w:r>
      <w:r>
        <w:rPr>
          <w:rFonts w:asciiTheme="minorEastAsia" w:hAnsiTheme="minorEastAsia" w:hint="eastAsia"/>
          <w:sz w:val="24"/>
          <w:szCs w:val="24"/>
        </w:rPr>
        <w:t>香港结算</w:t>
      </w:r>
      <w:r>
        <w:rPr>
          <w:rFonts w:asciiTheme="minorEastAsia" w:hAnsiTheme="minorEastAsia"/>
          <w:sz w:val="24"/>
          <w:szCs w:val="24"/>
        </w:rPr>
        <w:t>”</w:t>
      </w:r>
      <w:r>
        <w:rPr>
          <w:rFonts w:asciiTheme="minorEastAsia" w:hAnsiTheme="minorEastAsia" w:hint="eastAsia"/>
          <w:sz w:val="24"/>
          <w:szCs w:val="24"/>
        </w:rPr>
        <w:t>）的业务规则，与香港结算完成港股通交易的证券和资金的交收。港股通交易的境内结算由中国结算根据相关业务规则组织完成。</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第二十五条</w:t>
      </w:r>
      <w:r w:rsidR="00C87B63">
        <w:rPr>
          <w:rFonts w:asciiTheme="minorEastAsia" w:hAnsiTheme="minorEastAsia" w:hint="eastAsia"/>
          <w:sz w:val="24"/>
          <w:szCs w:val="24"/>
        </w:rPr>
        <w:t xml:space="preserve"> </w:t>
      </w:r>
      <w:r>
        <w:rPr>
          <w:rFonts w:asciiTheme="minorEastAsia" w:hAnsiTheme="minorEastAsia" w:hint="eastAsia"/>
          <w:sz w:val="24"/>
          <w:szCs w:val="24"/>
        </w:rPr>
        <w:t>甲方通过港股通取得的证券以中国结算名义存管在香港结算，并以“香港中央结算（代理人）有限公司”的名义登记于联交所上市公司的股东名册。</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甲方不能要求存入或提取纸面股票，中国证监会另有规定的除外。</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第二十六条</w:t>
      </w:r>
      <w:r w:rsidR="00C87B63">
        <w:rPr>
          <w:rFonts w:asciiTheme="minorEastAsia" w:hAnsiTheme="minorEastAsia" w:hint="eastAsia"/>
          <w:sz w:val="24"/>
          <w:szCs w:val="24"/>
        </w:rPr>
        <w:t xml:space="preserve"> </w:t>
      </w:r>
      <w:r>
        <w:rPr>
          <w:rFonts w:asciiTheme="minorEastAsia" w:hAnsiTheme="minorEastAsia" w:hint="eastAsia"/>
          <w:sz w:val="24"/>
          <w:szCs w:val="24"/>
        </w:rPr>
        <w:t>甲方知晓并认可香港结算因无法交付证券对中国结算实施现金结算的，中国结算参照香港结算的处理原则进行相应业务处理；香港结算因风球、黑色暴雨天气等原因，临时作出特殊交收安排的，中国结算参照香港结算的处理原则进行相应业务处理。甲方同意乙方按照中国结算的业务规则进行业务处理。香港结算发生破产而导致其未全部履行对中国结算的交收义务的，中国结算协助向香港结算追索，但不承担由此产生的相关损失。</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第二十七条</w:t>
      </w:r>
      <w:r w:rsidR="00C87B63">
        <w:rPr>
          <w:rFonts w:asciiTheme="minorEastAsia" w:hAnsiTheme="minorEastAsia" w:hint="eastAsia"/>
          <w:sz w:val="24"/>
          <w:szCs w:val="24"/>
        </w:rPr>
        <w:t xml:space="preserve"> </w:t>
      </w:r>
      <w:r>
        <w:rPr>
          <w:rFonts w:asciiTheme="minorEastAsia" w:hAnsiTheme="minorEastAsia" w:hint="eastAsia"/>
          <w:sz w:val="24"/>
          <w:szCs w:val="24"/>
        </w:rPr>
        <w:t>甲方同意，对于甲方的港股通交易，由乙方以自己的名义与中国结算完成集中结算，并由乙方办理与甲方之间的港股通交易的结算，甲方不与中国结算发生结算关系。</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甲乙双方、甲方与乙方发生的纠纷，不影响中国结算依照业务规则正在进行或已经进行的清算交收处理及违约处理。</w:t>
      </w:r>
    </w:p>
    <w:p w:rsidR="002670C7" w:rsidRDefault="00444105">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第二十八条</w:t>
      </w:r>
      <w:r w:rsidR="00C87B63">
        <w:rPr>
          <w:rFonts w:asciiTheme="minorEastAsia" w:hAnsiTheme="minorEastAsia" w:hint="eastAsia"/>
          <w:sz w:val="24"/>
          <w:szCs w:val="24"/>
        </w:rPr>
        <w:t xml:space="preserve"> </w:t>
      </w:r>
      <w:r>
        <w:rPr>
          <w:rFonts w:asciiTheme="minorEastAsia" w:hAnsiTheme="minorEastAsia" w:hint="eastAsia"/>
          <w:sz w:val="24"/>
          <w:szCs w:val="24"/>
        </w:rPr>
        <w:t>乙方在交收日集中交收前，向甲方收取其应付的证券和资金。乙方应当向正常履行交收义务的甲方交付其应收的证券和资金。</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第二十九条</w:t>
      </w:r>
      <w:r w:rsidR="00C87B63">
        <w:rPr>
          <w:rFonts w:asciiTheme="minorEastAsia" w:hAnsiTheme="minorEastAsia" w:hint="eastAsia"/>
          <w:sz w:val="24"/>
          <w:szCs w:val="24"/>
        </w:rPr>
        <w:t xml:space="preserve"> </w:t>
      </w:r>
      <w:r>
        <w:rPr>
          <w:rFonts w:asciiTheme="minorEastAsia" w:hAnsiTheme="minorEastAsia" w:hint="eastAsia"/>
          <w:sz w:val="24"/>
          <w:szCs w:val="24"/>
        </w:rPr>
        <w:t>在确保客户资金账户不出现透支的前提下，投资者卖出（</w:t>
      </w:r>
      <w:r>
        <w:rPr>
          <w:rFonts w:asciiTheme="minorEastAsia" w:hAnsiTheme="minorEastAsia"/>
          <w:sz w:val="24"/>
          <w:szCs w:val="24"/>
        </w:rPr>
        <w:t>T日）香港股票的资金在T+</w:t>
      </w:r>
      <w:r>
        <w:rPr>
          <w:rFonts w:asciiTheme="minorEastAsia" w:hAnsiTheme="minorEastAsia" w:hint="eastAsia"/>
          <w:sz w:val="24"/>
          <w:szCs w:val="24"/>
        </w:rPr>
        <w:t>3日境内交易时可以使用，但因香港市场延迟交收导致客户资金不能按时交收等特殊情形除外。</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第三十条</w:t>
      </w:r>
      <w:r w:rsidR="00C87B63">
        <w:rPr>
          <w:rFonts w:asciiTheme="minorEastAsia" w:hAnsiTheme="minorEastAsia" w:hint="eastAsia"/>
          <w:sz w:val="24"/>
          <w:szCs w:val="24"/>
        </w:rPr>
        <w:t xml:space="preserve"> </w:t>
      </w:r>
      <w:r>
        <w:rPr>
          <w:rFonts w:asciiTheme="minorEastAsia" w:hAnsiTheme="minorEastAsia" w:hint="eastAsia"/>
          <w:sz w:val="24"/>
          <w:szCs w:val="24"/>
        </w:rPr>
        <w:t>在清算交收处理过程中，由乙方委托中国结算办理甲方与乙方之间的证券划付。</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lastRenderedPageBreak/>
        <w:t>第三十一条</w:t>
      </w:r>
      <w:r w:rsidR="00C87B63">
        <w:rPr>
          <w:rFonts w:asciiTheme="minorEastAsia" w:hAnsiTheme="minorEastAsia" w:hint="eastAsia"/>
          <w:sz w:val="24"/>
          <w:szCs w:val="24"/>
        </w:rPr>
        <w:t xml:space="preserve"> </w:t>
      </w:r>
      <w:r>
        <w:rPr>
          <w:rFonts w:asciiTheme="minorEastAsia" w:hAnsiTheme="minorEastAsia" w:hint="eastAsia"/>
          <w:sz w:val="24"/>
          <w:szCs w:val="24"/>
        </w:rPr>
        <w:t>甲方出现资金交收违约并造成乙方对中国结算违约的，乙方有权将甲方相当于交收违约金额的应收证券指定为暂不交付证券并由中国结算按其业务规则进行处置。由此造成的风险、损失和责任，由甲方承担。</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第三十二条</w:t>
      </w:r>
      <w:r w:rsidR="00C87B63">
        <w:rPr>
          <w:rFonts w:asciiTheme="minorEastAsia" w:hAnsiTheme="minorEastAsia" w:hint="eastAsia"/>
          <w:sz w:val="24"/>
          <w:szCs w:val="24"/>
        </w:rPr>
        <w:t xml:space="preserve"> </w:t>
      </w:r>
      <w:r>
        <w:rPr>
          <w:rFonts w:asciiTheme="minorEastAsia" w:hAnsiTheme="minorEastAsia" w:hint="eastAsia"/>
          <w:sz w:val="24"/>
          <w:szCs w:val="24"/>
        </w:rPr>
        <w:t>甲方出现证券交收违约的，乙方有权将相当于证券交收违约金额的资金暂不划付给甲方。</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第三十三条</w:t>
      </w:r>
      <w:r w:rsidR="00C87B63">
        <w:rPr>
          <w:rFonts w:asciiTheme="minorEastAsia" w:hAnsiTheme="minorEastAsia" w:hint="eastAsia"/>
          <w:sz w:val="24"/>
          <w:szCs w:val="24"/>
        </w:rPr>
        <w:t xml:space="preserve"> </w:t>
      </w:r>
      <w:r>
        <w:rPr>
          <w:rFonts w:asciiTheme="minorEastAsia" w:hAnsiTheme="minorEastAsia" w:hint="eastAsia"/>
          <w:sz w:val="24"/>
          <w:szCs w:val="24"/>
        </w:rPr>
        <w:t>甲方可要求乙方为其提供买卖成交明细单。甲方可在乙方经营场所临柜查询和打印，也可通过乙方提供的其他方式查询和打印。双方另行通过书面方式约定交付方式和交付时间的，乙方应按约定执行。</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第三十四条</w:t>
      </w:r>
      <w:r w:rsidR="00C87B63">
        <w:rPr>
          <w:rFonts w:asciiTheme="minorEastAsia" w:hAnsiTheme="minorEastAsia" w:hint="eastAsia"/>
          <w:sz w:val="24"/>
          <w:szCs w:val="24"/>
        </w:rPr>
        <w:t xml:space="preserve"> </w:t>
      </w:r>
      <w:r>
        <w:rPr>
          <w:rFonts w:asciiTheme="minorEastAsia" w:hAnsiTheme="minorEastAsia" w:hint="eastAsia"/>
          <w:sz w:val="24"/>
          <w:szCs w:val="24"/>
        </w:rPr>
        <w:t>甲方知晓并认可，出于降低全市场资金成本的原因，中国结算可以依照香港结算相关业务规则，将甲方每日净卖出证券向香港结算提交作为交收担保品。</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第三十五条</w:t>
      </w:r>
      <w:r w:rsidR="00C87B63">
        <w:rPr>
          <w:rFonts w:asciiTheme="minorEastAsia" w:hAnsiTheme="minorEastAsia" w:hint="eastAsia"/>
          <w:sz w:val="24"/>
          <w:szCs w:val="24"/>
        </w:rPr>
        <w:t xml:space="preserve"> </w:t>
      </w:r>
      <w:r>
        <w:rPr>
          <w:rFonts w:asciiTheme="minorEastAsia" w:hAnsiTheme="minorEastAsia" w:hint="eastAsia"/>
          <w:sz w:val="24"/>
          <w:szCs w:val="24"/>
        </w:rPr>
        <w:t>甲方委托乙方买卖证券成交的，应当按照联交所市场收费标准交纳交易费、交易系统使用费和其他费用，并按照香港地区相关规定缴纳印花税等税款。</w:t>
      </w:r>
    </w:p>
    <w:p w:rsidR="002670C7" w:rsidRDefault="00444105" w:rsidP="00F7732E">
      <w:pPr>
        <w:spacing w:line="440" w:lineRule="exact"/>
        <w:ind w:firstLineChars="227" w:firstLine="545"/>
        <w:rPr>
          <w:rFonts w:asciiTheme="minorEastAsia" w:hAnsiTheme="minorEastAsia"/>
          <w:sz w:val="24"/>
          <w:szCs w:val="24"/>
        </w:rPr>
      </w:pPr>
      <w:r>
        <w:rPr>
          <w:rFonts w:asciiTheme="minorEastAsia" w:hAnsiTheme="minorEastAsia" w:hint="eastAsia"/>
          <w:sz w:val="24"/>
          <w:szCs w:val="24"/>
        </w:rPr>
        <w:t>因交易系统使用费、证券组合费及其他原因导致的甲方资金透支，乙方依法保留追索甲方透支资金的权利，甲方应积极配合补足透支资金。</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第五章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责任条款</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第三十六条</w:t>
      </w:r>
      <w:r w:rsidR="00C87B63">
        <w:rPr>
          <w:rFonts w:asciiTheme="minorEastAsia" w:hAnsiTheme="minorEastAsia" w:hint="eastAsia"/>
          <w:sz w:val="24"/>
          <w:szCs w:val="24"/>
        </w:rPr>
        <w:t xml:space="preserve"> </w:t>
      </w:r>
      <w:r>
        <w:rPr>
          <w:rFonts w:asciiTheme="minorEastAsia" w:hAnsiTheme="minorEastAsia" w:hint="eastAsia"/>
          <w:sz w:val="24"/>
          <w:szCs w:val="24"/>
        </w:rPr>
        <w:t>发生下列情形之一的，甲方有权向乙方主张权利，乙方应承担相应责任并负责赔偿损失：</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（一）因乙方原因未完成与中国结算的集中交收，导致甲方应收资金或证券被暂不交付或处置的；</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（二）乙方对甲方出现交收违约导致甲方未能取得应收证券或资金的；</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（三）乙方发送的有关甲方的证券划付指令有误的；</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（四）其他因乙方未遵守相关业务规则导致甲方利益受到损害的。</w:t>
      </w:r>
    </w:p>
    <w:p w:rsidR="002670C7" w:rsidRDefault="00C87B63" w:rsidP="00F7732E">
      <w:pPr>
        <w:spacing w:line="440" w:lineRule="exact"/>
        <w:ind w:firstLineChars="177" w:firstLine="425"/>
        <w:rPr>
          <w:rFonts w:asciiTheme="minorEastAsia" w:hAnsiTheme="minorEastAsia"/>
          <w:sz w:val="24"/>
        </w:rPr>
      </w:pPr>
      <w:r>
        <w:rPr>
          <w:rFonts w:asciiTheme="minorEastAsia" w:hAnsiTheme="minorEastAsia" w:hint="eastAsia"/>
          <w:sz w:val="24"/>
        </w:rPr>
        <w:t xml:space="preserve">第三十七条 </w:t>
      </w:r>
      <w:r w:rsidR="00444105">
        <w:rPr>
          <w:rFonts w:asciiTheme="minorEastAsia" w:hAnsiTheme="minorEastAsia" w:hint="eastAsia"/>
          <w:sz w:val="24"/>
        </w:rPr>
        <w:t>因地震、台风、水灾、火灾、战争、瘟疫、社会动乱及其他不可抗力因素导致的甲方损失，乙方不承担任何赔偿责任。</w:t>
      </w:r>
    </w:p>
    <w:p w:rsidR="002670C7" w:rsidRDefault="00444105" w:rsidP="00F7732E">
      <w:pPr>
        <w:spacing w:line="440" w:lineRule="exact"/>
        <w:ind w:firstLineChars="177" w:firstLine="425"/>
        <w:rPr>
          <w:szCs w:val="21"/>
        </w:rPr>
      </w:pPr>
      <w:r>
        <w:rPr>
          <w:rFonts w:asciiTheme="minorEastAsia" w:hAnsiTheme="minorEastAsia" w:hint="eastAsia"/>
          <w:sz w:val="24"/>
        </w:rPr>
        <w:t>第三十八条　因乙方不可预测或无法控制的系统故障、设备故障、通讯故障、电力故障等突发事故及其他非乙方人为因素，以及</w:t>
      </w:r>
      <w:r>
        <w:rPr>
          <w:rFonts w:hint="eastAsia"/>
          <w:sz w:val="24"/>
          <w:szCs w:val="24"/>
        </w:rPr>
        <w:t>因本协议生效后新颁布、实施或修改的法律、法规、规章、规则或政策等因素，导致本协议任何一方不能及时或完全履行本协议的，其相应责任应予免除</w:t>
      </w:r>
      <w:r>
        <w:rPr>
          <w:rFonts w:hint="eastAsia"/>
          <w:szCs w:val="21"/>
        </w:rPr>
        <w:t>。</w:t>
      </w:r>
    </w:p>
    <w:p w:rsidR="002670C7" w:rsidRDefault="00C87B63" w:rsidP="00F7732E">
      <w:pPr>
        <w:spacing w:line="440" w:lineRule="exact"/>
        <w:ind w:firstLineChars="177" w:firstLine="425"/>
        <w:rPr>
          <w:rFonts w:asciiTheme="minorEastAsia" w:hAnsiTheme="minorEastAsia"/>
          <w:sz w:val="24"/>
        </w:rPr>
      </w:pPr>
      <w:r>
        <w:rPr>
          <w:rFonts w:asciiTheme="minorEastAsia" w:hAnsiTheme="minorEastAsia" w:hint="eastAsia"/>
          <w:sz w:val="24"/>
        </w:rPr>
        <w:lastRenderedPageBreak/>
        <w:t xml:space="preserve">第三十九条 </w:t>
      </w:r>
      <w:r w:rsidR="00444105">
        <w:rPr>
          <w:rFonts w:asciiTheme="minorEastAsia" w:hAnsiTheme="minorEastAsia" w:hint="eastAsia"/>
          <w:sz w:val="24"/>
        </w:rPr>
        <w:t>本协议第三十七、三十八条所述事件发生后，乙方应当及时采取措施防止甲方损失可能的进一步扩大。</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第四十条</w:t>
      </w:r>
      <w:r w:rsidR="00C87B63">
        <w:rPr>
          <w:rFonts w:asciiTheme="minorEastAsia" w:hAnsiTheme="minorEastAsia" w:hint="eastAsia"/>
          <w:sz w:val="24"/>
          <w:szCs w:val="24"/>
        </w:rPr>
        <w:t xml:space="preserve"> </w:t>
      </w:r>
      <w:r>
        <w:rPr>
          <w:rFonts w:asciiTheme="minorEastAsia" w:hAnsiTheme="minorEastAsia" w:hint="eastAsia"/>
          <w:sz w:val="24"/>
          <w:szCs w:val="24"/>
        </w:rPr>
        <w:t>甲方若发生转托管，须向乙方支付其在乙方托管期间发生的证券组合费。</w:t>
      </w:r>
    </w:p>
    <w:p w:rsidR="002670C7" w:rsidRDefault="00444105" w:rsidP="00F7732E">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第四十一条</w:t>
      </w:r>
      <w:r w:rsidR="00C87B63">
        <w:rPr>
          <w:rFonts w:asciiTheme="minorEastAsia" w:hAnsiTheme="minorEastAsia" w:hint="eastAsia"/>
          <w:sz w:val="24"/>
          <w:szCs w:val="24"/>
        </w:rPr>
        <w:t xml:space="preserve"> </w:t>
      </w:r>
      <w:r>
        <w:rPr>
          <w:rFonts w:asciiTheme="minorEastAsia" w:hAnsiTheme="minorEastAsia" w:hint="eastAsia"/>
          <w:sz w:val="24"/>
          <w:szCs w:val="24"/>
        </w:rPr>
        <w:t>甲方知晓并认可，因深交所、中国结算制定、修改业务规则、根据业务规则履行自律监管职责等造成的损失，深交所、中国结算和乙方不承担责任；因交易异常情况或者深交所、深交所证券交易服务公司采取的相关措施造成的损失，深交所、深交所证券交易服务公司和乙方不承担责任。甲方不得基于上述原因向深交所、深交所证券交易服务公司、中国结算或乙方主张赔偿或者其他责任。</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第六章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非交易事项</w:t>
      </w:r>
    </w:p>
    <w:p w:rsidR="002670C7" w:rsidRDefault="00444105" w:rsidP="00544758">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第四十二条</w:t>
      </w:r>
      <w:r w:rsidR="00C87B63">
        <w:rPr>
          <w:rFonts w:asciiTheme="minorEastAsia" w:hAnsiTheme="minorEastAsia" w:hint="eastAsia"/>
          <w:sz w:val="24"/>
          <w:szCs w:val="24"/>
        </w:rPr>
        <w:t xml:space="preserve"> </w:t>
      </w:r>
      <w:r>
        <w:rPr>
          <w:rFonts w:asciiTheme="minorEastAsia" w:hAnsiTheme="minorEastAsia" w:hint="eastAsia"/>
          <w:sz w:val="24"/>
          <w:szCs w:val="24"/>
        </w:rPr>
        <w:t>如出现涉及甲方财产继承或财产归属的事宜或纠纷，乙方依据中国结算发布的相关业务规则办理。</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第七章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委托费用</w:t>
      </w:r>
    </w:p>
    <w:p w:rsidR="002670C7" w:rsidRDefault="00444105">
      <w:pPr>
        <w:ind w:firstLineChars="200" w:firstLine="480"/>
        <w:rPr>
          <w:rFonts w:asciiTheme="minorEastAsia" w:hAnsiTheme="minorEastAsia"/>
        </w:rPr>
      </w:pPr>
      <w:r>
        <w:rPr>
          <w:rFonts w:asciiTheme="minorEastAsia" w:hAnsiTheme="minorEastAsia" w:hint="eastAsia"/>
          <w:sz w:val="24"/>
          <w:szCs w:val="24"/>
        </w:rPr>
        <w:t>第四十三条</w:t>
      </w:r>
      <w:r w:rsidR="00C87B63">
        <w:rPr>
          <w:rFonts w:asciiTheme="minorEastAsia" w:hAnsiTheme="minorEastAsia" w:hint="eastAsia"/>
          <w:sz w:val="24"/>
          <w:szCs w:val="24"/>
        </w:rPr>
        <w:t xml:space="preserve"> </w:t>
      </w:r>
      <w:r>
        <w:rPr>
          <w:rFonts w:asciiTheme="minorEastAsia" w:hAnsiTheme="minorEastAsia" w:hint="eastAsia"/>
          <w:sz w:val="24"/>
          <w:szCs w:val="24"/>
        </w:rPr>
        <w:t>委托费用按照乙方</w:t>
      </w:r>
      <w:r>
        <w:rPr>
          <w:rFonts w:asciiTheme="minorEastAsia" w:hAnsiTheme="minorEastAsia"/>
          <w:sz w:val="24"/>
          <w:szCs w:val="24"/>
        </w:rPr>
        <w:t>A股账户</w:t>
      </w:r>
      <w:r>
        <w:rPr>
          <w:rFonts w:asciiTheme="minorEastAsia" w:hAnsiTheme="minorEastAsia" w:hint="eastAsia"/>
          <w:sz w:val="24"/>
          <w:szCs w:val="24"/>
        </w:rPr>
        <w:t>收费标准或甲乙双方商定的标准收取。</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第八章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协议的生效、变更与终止</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第四十四条　本协议可采用电子方式或纸质方式签署。</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采用纸质方式签署本协议的，甲方为个人的，由甲方本人签字；甲方为机构的，委托协议由甲方法定代表人或授权代表签字，并加盖公章。</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采用电子方式签署的，</w:t>
      </w:r>
      <w:r>
        <w:rPr>
          <w:rFonts w:asciiTheme="minorEastAsia" w:hAnsiTheme="minorEastAsia" w:hint="eastAsia"/>
          <w:sz w:val="24"/>
          <w:szCs w:val="24"/>
        </w:rPr>
        <w:t>甲方以电子签名方式签署本协议即告生效，</w:t>
      </w:r>
      <w:r>
        <w:rPr>
          <w:rFonts w:asciiTheme="minorEastAsia" w:hAnsiTheme="minorEastAsia" w:hint="eastAsia"/>
          <w:sz w:val="24"/>
        </w:rPr>
        <w:t>电子合同和纸质合同具有同等法律效力。</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本协议在以下条件均满足之日起生效：</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一</w:t>
      </w:r>
      <w:r>
        <w:rPr>
          <w:rFonts w:asciiTheme="minorEastAsia" w:hAnsiTheme="minorEastAsia"/>
          <w:sz w:val="24"/>
        </w:rPr>
        <w:t xml:space="preserve">）如采用纸质方式签署本协议的，则双方均已在本协议上签字盖章；如采用电子方式签署本协议的，则甲方以电子签名方式签署了本协议； </w:t>
      </w:r>
    </w:p>
    <w:p w:rsidR="002670C7" w:rsidRDefault="00444105">
      <w:pPr>
        <w:spacing w:line="440" w:lineRule="exact"/>
        <w:ind w:firstLineChars="200" w:firstLine="480"/>
        <w:rPr>
          <w:rFonts w:asciiTheme="minorEastAsia" w:hAnsiTheme="minorEastAsia"/>
          <w:sz w:val="24"/>
        </w:rPr>
      </w:pPr>
      <w:r>
        <w:rPr>
          <w:rFonts w:asciiTheme="minorEastAsia" w:hAnsiTheme="minorEastAsia" w:hint="eastAsia"/>
          <w:sz w:val="24"/>
        </w:rPr>
        <w:t>（</w:t>
      </w:r>
      <w:r w:rsidR="008A1CF3">
        <w:rPr>
          <w:rFonts w:asciiTheme="minorEastAsia" w:hAnsiTheme="minorEastAsia" w:hint="eastAsia"/>
          <w:sz w:val="24"/>
        </w:rPr>
        <w:t>二</w:t>
      </w:r>
      <w:r>
        <w:rPr>
          <w:rFonts w:asciiTheme="minorEastAsia" w:hAnsiTheme="minorEastAsia"/>
          <w:sz w:val="24"/>
        </w:rPr>
        <w:t>）甲乙双方已签署了《长城证券股份有限公司客户账户开户协议》，且《长城证券股份有限公司客户账户开户协议》已生效。</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第四十五条　本协议签署并生效后，若有关法律、法规、规章、规范性文件、</w:t>
      </w:r>
      <w:r>
        <w:rPr>
          <w:rFonts w:asciiTheme="minorEastAsia" w:hAnsiTheme="minorEastAsia" w:hint="eastAsia"/>
          <w:sz w:val="24"/>
        </w:rPr>
        <w:lastRenderedPageBreak/>
        <w:t>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第四十六条　本协议签署并生效后，若前款所述法律、法规等规范性文件发生修订，本协议相关条款与其中规定存在差异，乙方认为应据此修改或变更本协议的，有关内容将由乙方在其经营场所或网站以公告方式通知甲方，若甲方在七个港股通交易日内不提出异议，则公告内容生效，并成为本协议组成部分，对甲乙双方均具有法律约束力。</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第四十七条</w:t>
      </w:r>
      <w:r w:rsidR="00C87B63">
        <w:rPr>
          <w:rFonts w:asciiTheme="minorEastAsia" w:hAnsiTheme="minorEastAsia" w:hint="eastAsia"/>
          <w:sz w:val="24"/>
        </w:rPr>
        <w:t xml:space="preserve"> </w:t>
      </w:r>
      <w:r>
        <w:rPr>
          <w:rFonts w:asciiTheme="minorEastAsia" w:hAnsiTheme="minorEastAsia" w:hint="eastAsia"/>
          <w:sz w:val="24"/>
        </w:rPr>
        <w:t>甲乙双方约定托管单元变更、证券转托管按现场办理方式办理。</w:t>
      </w:r>
    </w:p>
    <w:p w:rsidR="002670C7" w:rsidRDefault="00444105" w:rsidP="00F7732E">
      <w:pPr>
        <w:spacing w:line="440" w:lineRule="exact"/>
        <w:ind w:firstLineChars="177" w:firstLine="425"/>
        <w:rPr>
          <w:rFonts w:asciiTheme="minorEastAsia" w:hAnsiTheme="minorEastAsia"/>
          <w:sz w:val="24"/>
        </w:rPr>
      </w:pPr>
      <w:r>
        <w:rPr>
          <w:rFonts w:asciiTheme="minorEastAsia" w:hAnsiTheme="minorEastAsia" w:hint="eastAsia"/>
          <w:sz w:val="24"/>
        </w:rPr>
        <w:t>第四十八条</w:t>
      </w:r>
      <w:r w:rsidR="00C87B63">
        <w:rPr>
          <w:rFonts w:asciiTheme="minorEastAsia" w:hAnsiTheme="minorEastAsia" w:hint="eastAsia"/>
          <w:sz w:val="24"/>
        </w:rPr>
        <w:t xml:space="preserve"> </w:t>
      </w:r>
      <w:r>
        <w:rPr>
          <w:rFonts w:asciiTheme="minorEastAsia" w:hAnsiTheme="minorEastAsia" w:hint="eastAsia"/>
          <w:sz w:val="24"/>
        </w:rPr>
        <w:t>甲乙双方签署的《长城证券股份有限公司客户账户开户协议》终止或依照相关约定或相关法律法规的规定提前解除时</w:t>
      </w:r>
      <w:r>
        <w:rPr>
          <w:rFonts w:asciiTheme="minorEastAsia" w:hAnsiTheme="minorEastAsia"/>
          <w:sz w:val="24"/>
        </w:rPr>
        <w:t>,本协议自动终止。</w:t>
      </w:r>
    </w:p>
    <w:p w:rsidR="008A1CF3" w:rsidRDefault="008A1CF3" w:rsidP="008A1CF3">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第九章 通知</w:t>
      </w:r>
      <w:r w:rsidR="00481B1D">
        <w:rPr>
          <w:rFonts w:asciiTheme="minorEastAsia" w:eastAsiaTheme="minorEastAsia" w:hAnsiTheme="minorEastAsia" w:hint="eastAsia"/>
          <w:sz w:val="24"/>
          <w:szCs w:val="24"/>
        </w:rPr>
        <w:t>与</w:t>
      </w:r>
      <w:r>
        <w:rPr>
          <w:rFonts w:asciiTheme="minorEastAsia" w:eastAsiaTheme="minorEastAsia" w:hAnsiTheme="minorEastAsia" w:hint="eastAsia"/>
          <w:sz w:val="24"/>
          <w:szCs w:val="24"/>
        </w:rPr>
        <w:t>送达</w:t>
      </w:r>
    </w:p>
    <w:p w:rsidR="008A1CF3" w:rsidRDefault="008A1CF3" w:rsidP="008A1CF3">
      <w:pPr>
        <w:spacing w:line="360" w:lineRule="auto"/>
        <w:ind w:firstLineChars="200" w:firstLine="480"/>
        <w:rPr>
          <w:rFonts w:ascii="宋体" w:hAnsi="宋体" w:cs="Arial"/>
          <w:bCs/>
          <w:kern w:val="0"/>
          <w:sz w:val="24"/>
        </w:rPr>
      </w:pPr>
      <w:r>
        <w:rPr>
          <w:rFonts w:asciiTheme="minorEastAsia" w:hAnsiTheme="minorEastAsia"/>
          <w:sz w:val="24"/>
          <w:szCs w:val="24"/>
        </w:rPr>
        <w:t>第</w:t>
      </w:r>
      <w:r>
        <w:rPr>
          <w:rFonts w:asciiTheme="minorEastAsia" w:hAnsiTheme="minorEastAsia" w:hint="eastAsia"/>
          <w:sz w:val="24"/>
          <w:szCs w:val="24"/>
        </w:rPr>
        <w:t>四</w:t>
      </w:r>
      <w:r>
        <w:rPr>
          <w:rFonts w:asciiTheme="minorEastAsia" w:hAnsiTheme="minorEastAsia"/>
          <w:sz w:val="24"/>
          <w:szCs w:val="24"/>
        </w:rPr>
        <w:t>十</w:t>
      </w:r>
      <w:r>
        <w:rPr>
          <w:rFonts w:asciiTheme="minorEastAsia" w:hAnsiTheme="minorEastAsia" w:hint="eastAsia"/>
          <w:sz w:val="24"/>
          <w:szCs w:val="24"/>
        </w:rPr>
        <w:t>九</w:t>
      </w:r>
      <w:r>
        <w:rPr>
          <w:rFonts w:asciiTheme="minorEastAsia" w:hAnsiTheme="minorEastAsia"/>
          <w:sz w:val="24"/>
          <w:szCs w:val="24"/>
        </w:rPr>
        <w:t>条</w:t>
      </w:r>
      <w:r>
        <w:rPr>
          <w:rFonts w:asciiTheme="minorEastAsia" w:hAnsiTheme="minorEastAsia" w:hint="eastAsia"/>
          <w:sz w:val="24"/>
          <w:szCs w:val="24"/>
        </w:rPr>
        <w:t xml:space="preserve"> </w:t>
      </w:r>
      <w:r w:rsidRPr="00A70BDD">
        <w:rPr>
          <w:rFonts w:ascii="宋体" w:hAnsi="宋体" w:cs="Arial" w:hint="eastAsia"/>
          <w:bCs/>
          <w:kern w:val="0"/>
          <w:sz w:val="24"/>
        </w:rPr>
        <w:t>乙方发送本合同所约定的通知，</w:t>
      </w:r>
      <w:r>
        <w:rPr>
          <w:rFonts w:ascii="宋体" w:hAnsi="宋体" w:cs="Arial" w:hint="eastAsia"/>
          <w:bCs/>
          <w:kern w:val="0"/>
          <w:sz w:val="24"/>
        </w:rPr>
        <w:t>甲方</w:t>
      </w:r>
      <w:r w:rsidRPr="00A70BDD">
        <w:rPr>
          <w:rFonts w:ascii="宋体" w:hAnsi="宋体" w:cs="Arial" w:hint="eastAsia"/>
          <w:bCs/>
          <w:kern w:val="0"/>
          <w:sz w:val="24"/>
        </w:rPr>
        <w:t>承诺及时接收乙方发出的通知，在</w:t>
      </w:r>
      <w:r w:rsidR="00481B1D">
        <w:rPr>
          <w:rFonts w:ascii="宋体" w:hAnsi="宋体" w:cs="Arial" w:hint="eastAsia"/>
          <w:bCs/>
          <w:kern w:val="0"/>
          <w:sz w:val="24"/>
        </w:rPr>
        <w:t>合同有效期</w:t>
      </w:r>
      <w:r>
        <w:rPr>
          <w:rFonts w:ascii="宋体" w:hAnsi="宋体" w:cs="Arial" w:hint="eastAsia"/>
          <w:bCs/>
          <w:kern w:val="0"/>
          <w:sz w:val="24"/>
        </w:rPr>
        <w:t>内</w:t>
      </w:r>
      <w:r w:rsidRPr="00A70BDD">
        <w:rPr>
          <w:rFonts w:ascii="宋体" w:hAnsi="宋体" w:cs="Arial" w:hint="eastAsia"/>
          <w:bCs/>
          <w:kern w:val="0"/>
          <w:sz w:val="24"/>
        </w:rPr>
        <w:t>始终承担注意义务。</w:t>
      </w:r>
    </w:p>
    <w:p w:rsidR="008A1CF3" w:rsidRDefault="008A1CF3" w:rsidP="008A1CF3">
      <w:pPr>
        <w:spacing w:line="360" w:lineRule="auto"/>
        <w:ind w:firstLineChars="200" w:firstLine="480"/>
        <w:rPr>
          <w:rFonts w:ascii="宋体" w:hAnsi="宋体" w:cs="Arial"/>
          <w:bCs/>
          <w:kern w:val="0"/>
          <w:sz w:val="24"/>
        </w:rPr>
      </w:pPr>
      <w:r>
        <w:rPr>
          <w:rFonts w:ascii="宋体" w:hAnsi="宋体" w:cs="Arial" w:hint="eastAsia"/>
          <w:bCs/>
          <w:kern w:val="0"/>
          <w:sz w:val="24"/>
        </w:rPr>
        <w:t>第五十条 乙方发送本合同所约定的通知</w:t>
      </w:r>
      <w:r w:rsidRPr="00AA2EE1">
        <w:rPr>
          <w:rFonts w:ascii="宋体" w:hAnsi="宋体" w:cs="Arial" w:hint="eastAsia"/>
          <w:bCs/>
          <w:kern w:val="0"/>
          <w:sz w:val="24"/>
        </w:rPr>
        <w:t>，可以采用当面通知、邮寄、手机短信、电话或乙方网站公告等方式中的任何一种或多种。</w:t>
      </w:r>
    </w:p>
    <w:p w:rsidR="008A1CF3" w:rsidRPr="00A70BDD" w:rsidRDefault="008A1CF3" w:rsidP="008A1CF3">
      <w:pPr>
        <w:spacing w:line="360" w:lineRule="auto"/>
        <w:ind w:firstLineChars="200" w:firstLine="480"/>
        <w:rPr>
          <w:rFonts w:ascii="宋体" w:hAnsi="宋体"/>
          <w:sz w:val="24"/>
        </w:rPr>
      </w:pPr>
      <w:r>
        <w:rPr>
          <w:rFonts w:ascii="宋体" w:hAnsi="宋体" w:cs="Arial" w:hint="eastAsia"/>
          <w:bCs/>
          <w:kern w:val="0"/>
          <w:sz w:val="24"/>
        </w:rPr>
        <w:t xml:space="preserve">第五十一条 </w:t>
      </w:r>
      <w:r w:rsidRPr="00A70BDD">
        <w:rPr>
          <w:rFonts w:ascii="宋体" w:hAnsi="宋体" w:cs="宋体" w:hint="eastAsia"/>
          <w:kern w:val="0"/>
          <w:sz w:val="24"/>
        </w:rPr>
        <w:t>以上通知方式的时间，以如下方式确认</w:t>
      </w:r>
      <w:r w:rsidRPr="00A70BDD">
        <w:rPr>
          <w:rFonts w:ascii="宋体" w:hAnsi="宋体" w:hint="eastAsia"/>
          <w:sz w:val="24"/>
        </w:rPr>
        <w:t>：</w:t>
      </w:r>
    </w:p>
    <w:p w:rsidR="008A1CF3" w:rsidRPr="00A70BDD" w:rsidRDefault="008A1CF3" w:rsidP="008A1CF3">
      <w:pPr>
        <w:spacing w:line="360" w:lineRule="auto"/>
        <w:ind w:firstLineChars="200" w:firstLine="480"/>
        <w:rPr>
          <w:rFonts w:ascii="宋体" w:hAnsi="宋体"/>
          <w:sz w:val="24"/>
        </w:rPr>
      </w:pPr>
      <w:r>
        <w:rPr>
          <w:rFonts w:ascii="宋体" w:hAnsi="宋体" w:hint="eastAsia"/>
          <w:sz w:val="24"/>
        </w:rPr>
        <w:t>（一）</w:t>
      </w:r>
      <w:r w:rsidRPr="00A70BDD">
        <w:rPr>
          <w:rFonts w:ascii="宋体" w:hAnsi="宋体" w:cs="宋体" w:hint="eastAsia"/>
          <w:kern w:val="0"/>
          <w:sz w:val="24"/>
        </w:rPr>
        <w:t>当面通知的，客户签收即视为送达</w:t>
      </w:r>
      <w:r w:rsidRPr="00A70BDD">
        <w:rPr>
          <w:rFonts w:ascii="宋体" w:hAnsi="宋体" w:hint="eastAsia"/>
          <w:sz w:val="24"/>
        </w:rPr>
        <w:t>；</w:t>
      </w:r>
    </w:p>
    <w:p w:rsidR="008A1CF3" w:rsidRPr="00A70BDD" w:rsidRDefault="008A1CF3" w:rsidP="008A1CF3">
      <w:pPr>
        <w:spacing w:line="360" w:lineRule="auto"/>
        <w:ind w:firstLineChars="200" w:firstLine="480"/>
        <w:rPr>
          <w:rFonts w:ascii="宋体" w:hAnsi="宋体"/>
          <w:sz w:val="24"/>
        </w:rPr>
      </w:pPr>
      <w:r>
        <w:rPr>
          <w:rFonts w:ascii="宋体" w:hAnsi="宋体" w:hint="eastAsia"/>
          <w:sz w:val="24"/>
        </w:rPr>
        <w:t>（二）</w:t>
      </w:r>
      <w:r w:rsidRPr="00A70BDD">
        <w:rPr>
          <w:rFonts w:ascii="宋体" w:hAnsi="宋体" w:cs="宋体" w:hint="eastAsia"/>
          <w:kern w:val="0"/>
          <w:sz w:val="24"/>
        </w:rPr>
        <w:t>以邮寄方式通知的，以寄出两日后视为已通知送达</w:t>
      </w:r>
      <w:r w:rsidRPr="00A70BDD">
        <w:rPr>
          <w:rFonts w:ascii="宋体" w:hAnsi="宋体" w:hint="eastAsia"/>
          <w:sz w:val="24"/>
        </w:rPr>
        <w:t>；</w:t>
      </w:r>
    </w:p>
    <w:p w:rsidR="008A1CF3" w:rsidRPr="00A70BDD" w:rsidRDefault="008A1CF3" w:rsidP="008A1CF3">
      <w:pPr>
        <w:spacing w:line="360" w:lineRule="auto"/>
        <w:ind w:firstLineChars="200" w:firstLine="480"/>
        <w:rPr>
          <w:rFonts w:ascii="宋体" w:hAnsi="宋体"/>
          <w:sz w:val="24"/>
        </w:rPr>
      </w:pPr>
      <w:r>
        <w:rPr>
          <w:rFonts w:ascii="宋体" w:hAnsi="宋体" w:hint="eastAsia"/>
          <w:sz w:val="24"/>
        </w:rPr>
        <w:t>（三）</w:t>
      </w:r>
      <w:r w:rsidRPr="00A70BDD">
        <w:rPr>
          <w:rFonts w:ascii="宋体" w:hAnsi="宋体" w:cs="宋体" w:hint="eastAsia"/>
          <w:kern w:val="0"/>
          <w:sz w:val="24"/>
        </w:rPr>
        <w:t>以电话方式通知的，以通话当时视为已通知送达</w:t>
      </w:r>
      <w:r w:rsidRPr="00A70BDD">
        <w:rPr>
          <w:rFonts w:ascii="宋体" w:hAnsi="宋体" w:hint="eastAsia"/>
          <w:sz w:val="24"/>
        </w:rPr>
        <w:t>；</w:t>
      </w:r>
    </w:p>
    <w:p w:rsidR="008A1CF3" w:rsidRDefault="008A1CF3" w:rsidP="008A1CF3">
      <w:pPr>
        <w:spacing w:line="360" w:lineRule="auto"/>
        <w:ind w:firstLineChars="200" w:firstLine="480"/>
        <w:rPr>
          <w:rFonts w:ascii="宋体" w:hAnsi="宋体" w:cs="宋体"/>
          <w:kern w:val="0"/>
          <w:sz w:val="24"/>
        </w:rPr>
      </w:pPr>
      <w:r>
        <w:rPr>
          <w:rFonts w:ascii="宋体" w:hAnsi="宋体" w:hint="eastAsia"/>
          <w:sz w:val="24"/>
        </w:rPr>
        <w:t>（四）</w:t>
      </w:r>
      <w:r w:rsidRPr="00A70BDD">
        <w:rPr>
          <w:rFonts w:ascii="宋体" w:hAnsi="宋体" w:cs="宋体" w:hint="eastAsia"/>
          <w:kern w:val="0"/>
          <w:sz w:val="24"/>
        </w:rPr>
        <w:t>以短信方式通知的，以短信发出后即视为已通知送达</w:t>
      </w:r>
      <w:r>
        <w:rPr>
          <w:rFonts w:ascii="宋体" w:hAnsi="宋体" w:cs="宋体" w:hint="eastAsia"/>
          <w:kern w:val="0"/>
          <w:sz w:val="24"/>
        </w:rPr>
        <w:t>；</w:t>
      </w:r>
    </w:p>
    <w:p w:rsidR="008A1CF3" w:rsidRPr="00A70BDD" w:rsidRDefault="008A1CF3" w:rsidP="008A1CF3">
      <w:pPr>
        <w:spacing w:line="360" w:lineRule="auto"/>
        <w:ind w:firstLineChars="200" w:firstLine="480"/>
        <w:rPr>
          <w:rFonts w:ascii="宋体" w:hAnsi="宋体"/>
          <w:sz w:val="24"/>
        </w:rPr>
      </w:pPr>
      <w:r>
        <w:rPr>
          <w:rFonts w:ascii="宋体" w:hAnsi="宋体" w:hint="eastAsia"/>
          <w:sz w:val="24"/>
        </w:rPr>
        <w:t>（五）</w:t>
      </w:r>
      <w:r w:rsidRPr="00AA2EE1">
        <w:rPr>
          <w:rFonts w:ascii="宋体" w:hAnsi="宋体" w:hint="eastAsia"/>
          <w:sz w:val="24"/>
        </w:rPr>
        <w:t>以公告方式通知的，以乙方公司官方网站公告发布后即视为已通知送达</w:t>
      </w:r>
      <w:r w:rsidRPr="00A70BDD">
        <w:rPr>
          <w:rFonts w:ascii="宋体" w:hAnsi="宋体" w:hint="eastAsia"/>
          <w:sz w:val="24"/>
        </w:rPr>
        <w:t>。</w:t>
      </w:r>
    </w:p>
    <w:p w:rsidR="008A1CF3" w:rsidRPr="00A70BDD" w:rsidRDefault="008A1CF3" w:rsidP="008A1CF3">
      <w:pPr>
        <w:spacing w:line="360" w:lineRule="auto"/>
        <w:ind w:firstLineChars="200" w:firstLine="480"/>
        <w:rPr>
          <w:rFonts w:ascii="宋体" w:hAnsi="宋体" w:cs="宋体"/>
          <w:kern w:val="0"/>
          <w:sz w:val="24"/>
        </w:rPr>
      </w:pPr>
      <w:r w:rsidRPr="00A70BDD">
        <w:rPr>
          <w:rFonts w:ascii="宋体" w:hAnsi="宋体" w:cs="宋体" w:hint="eastAsia"/>
          <w:kern w:val="0"/>
          <w:sz w:val="24"/>
        </w:rPr>
        <w:t>数据电文和录音、录像、通话记录、手机短信等可作为证明通知送达的证据。</w:t>
      </w:r>
    </w:p>
    <w:p w:rsidR="008A1CF3" w:rsidRPr="008A1CF3" w:rsidRDefault="008A1CF3" w:rsidP="008A1CF3">
      <w:pPr>
        <w:spacing w:line="360" w:lineRule="auto"/>
        <w:ind w:firstLineChars="200" w:firstLine="480"/>
        <w:rPr>
          <w:rFonts w:ascii="宋体" w:hAnsi="宋体" w:cs="宋体"/>
          <w:kern w:val="0"/>
          <w:sz w:val="24"/>
        </w:rPr>
      </w:pPr>
      <w:r w:rsidRPr="00A70BDD">
        <w:rPr>
          <w:rFonts w:ascii="宋体" w:hAnsi="宋体" w:cs="宋体" w:hint="eastAsia"/>
          <w:bCs/>
          <w:kern w:val="0"/>
          <w:sz w:val="24"/>
        </w:rPr>
        <w:t>上述联络方式的真实、准确与</w:t>
      </w:r>
      <w:r>
        <w:rPr>
          <w:rFonts w:ascii="宋体" w:hAnsi="宋体" w:cs="宋体" w:hint="eastAsia"/>
          <w:bCs/>
          <w:kern w:val="0"/>
          <w:sz w:val="24"/>
        </w:rPr>
        <w:t>甲方</w:t>
      </w:r>
      <w:r w:rsidRPr="00A70BDD">
        <w:rPr>
          <w:rFonts w:ascii="宋体" w:hAnsi="宋体" w:cs="宋体" w:hint="eastAsia"/>
          <w:bCs/>
          <w:kern w:val="0"/>
          <w:sz w:val="24"/>
        </w:rPr>
        <w:t>利益密切相关，</w:t>
      </w:r>
      <w:r>
        <w:rPr>
          <w:rFonts w:ascii="宋体" w:hAnsi="宋体" w:cs="宋体" w:hint="eastAsia"/>
          <w:bCs/>
          <w:kern w:val="0"/>
          <w:sz w:val="24"/>
        </w:rPr>
        <w:t>甲方</w:t>
      </w:r>
      <w:r w:rsidRPr="00A70BDD">
        <w:rPr>
          <w:rFonts w:ascii="宋体" w:hAnsi="宋体" w:cs="宋体" w:hint="eastAsia"/>
          <w:bCs/>
          <w:kern w:val="0"/>
          <w:sz w:val="24"/>
        </w:rPr>
        <w:t>承诺已如实提供。</w:t>
      </w:r>
      <w:r>
        <w:rPr>
          <w:rFonts w:ascii="宋体" w:hAnsi="宋体" w:cs="宋体" w:hint="eastAsia"/>
          <w:bCs/>
          <w:kern w:val="0"/>
          <w:sz w:val="24"/>
        </w:rPr>
        <w:t>甲方</w:t>
      </w:r>
      <w:r w:rsidRPr="00A70BDD">
        <w:rPr>
          <w:rFonts w:ascii="宋体" w:hAnsi="宋体" w:cs="宋体" w:hint="eastAsia"/>
          <w:bCs/>
          <w:kern w:val="0"/>
          <w:sz w:val="24"/>
        </w:rPr>
        <w:t>上述联络方式中的任何一项发生变更</w:t>
      </w:r>
      <w:r w:rsidR="00481B1D">
        <w:rPr>
          <w:rFonts w:ascii="宋体" w:hAnsi="宋体" w:cs="宋体" w:hint="eastAsia"/>
          <w:bCs/>
          <w:kern w:val="0"/>
          <w:sz w:val="24"/>
        </w:rPr>
        <w:t>的</w:t>
      </w:r>
      <w:r w:rsidRPr="00A70BDD">
        <w:rPr>
          <w:rFonts w:ascii="宋体" w:hAnsi="宋体" w:cs="宋体" w:hint="eastAsia"/>
          <w:bCs/>
          <w:kern w:val="0"/>
          <w:sz w:val="24"/>
        </w:rPr>
        <w:t>，</w:t>
      </w:r>
      <w:r w:rsidRPr="00A70BDD">
        <w:rPr>
          <w:rFonts w:ascii="宋体" w:hAnsi="宋体" w:cs="Arial" w:hint="eastAsia"/>
          <w:bCs/>
          <w:kern w:val="0"/>
          <w:sz w:val="24"/>
        </w:rPr>
        <w:t>应当在三个工作日内</w:t>
      </w:r>
      <w:r w:rsidRPr="00A70BDD">
        <w:rPr>
          <w:rFonts w:ascii="宋体" w:hAnsi="宋体" w:cs="宋体" w:hint="eastAsia"/>
          <w:bCs/>
          <w:kern w:val="0"/>
          <w:sz w:val="24"/>
        </w:rPr>
        <w:t>及时到乙方营业网点办理变更手续，否则自行承担由此造成的不利后果。除</w:t>
      </w:r>
      <w:r w:rsidRPr="00A70BDD">
        <w:rPr>
          <w:rFonts w:ascii="宋体" w:hAnsi="宋体" w:cs="宋体" w:hint="eastAsia"/>
          <w:kern w:val="0"/>
          <w:sz w:val="24"/>
        </w:rPr>
        <w:t>本合同已有明确约定外，乙方以上述任何一种方式向客户通知的，视为乙方已经履行对客户的通知义务。</w:t>
      </w: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w:t>
      </w:r>
      <w:r w:rsidR="008A1CF3">
        <w:rPr>
          <w:rFonts w:asciiTheme="minorEastAsia" w:eastAsiaTheme="minorEastAsia" w:hAnsiTheme="minorEastAsia" w:hint="eastAsia"/>
          <w:sz w:val="24"/>
          <w:szCs w:val="24"/>
        </w:rPr>
        <w:t>十</w:t>
      </w:r>
      <w:r>
        <w:rPr>
          <w:rFonts w:asciiTheme="minorEastAsia" w:eastAsiaTheme="minorEastAsia" w:hAnsiTheme="minorEastAsia" w:hint="eastAsia"/>
          <w:sz w:val="24"/>
          <w:szCs w:val="24"/>
        </w:rPr>
        <w:t>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争议的解决及法律适用</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第</w:t>
      </w:r>
      <w:r w:rsidR="008A1CF3">
        <w:rPr>
          <w:rFonts w:asciiTheme="minorEastAsia" w:hAnsiTheme="minorEastAsia" w:hint="eastAsia"/>
          <w:sz w:val="24"/>
        </w:rPr>
        <w:t>五</w:t>
      </w:r>
      <w:r>
        <w:rPr>
          <w:rFonts w:asciiTheme="minorEastAsia" w:hAnsiTheme="minorEastAsia" w:hint="eastAsia"/>
          <w:sz w:val="24"/>
        </w:rPr>
        <w:t>十</w:t>
      </w:r>
      <w:r w:rsidR="008A1CF3">
        <w:rPr>
          <w:rFonts w:asciiTheme="minorEastAsia" w:hAnsiTheme="minorEastAsia" w:hint="eastAsia"/>
          <w:sz w:val="24"/>
        </w:rPr>
        <w:t>二</w:t>
      </w:r>
      <w:r>
        <w:rPr>
          <w:rFonts w:asciiTheme="minorEastAsia" w:hAnsiTheme="minorEastAsia" w:hint="eastAsia"/>
          <w:sz w:val="24"/>
        </w:rPr>
        <w:t>条　本协议执行中发生的争议，甲乙双方可以自行协商解决或向中国证券业协会证券纠纷调解中心申请调解，若协商或调解不成，双方同意按以下方式解决：</w:t>
      </w:r>
    </w:p>
    <w:p w:rsidR="00C87B63" w:rsidRPr="00D54403" w:rsidRDefault="00444105" w:rsidP="00D54403">
      <w:pPr>
        <w:spacing w:line="440" w:lineRule="exact"/>
        <w:ind w:firstLineChars="177" w:firstLine="425"/>
        <w:rPr>
          <w:rFonts w:asciiTheme="minorEastAsia" w:hAnsiTheme="minorEastAsia" w:cs="Arial"/>
          <w:kern w:val="0"/>
          <w:sz w:val="24"/>
          <w:szCs w:val="24"/>
        </w:rPr>
      </w:pPr>
      <w:r w:rsidRPr="00D54403">
        <w:rPr>
          <w:rFonts w:asciiTheme="minorEastAsia" w:hAnsiTheme="minorEastAsia" w:cs="Arial" w:hint="eastAsia"/>
          <w:kern w:val="0"/>
          <w:sz w:val="24"/>
          <w:szCs w:val="24"/>
        </w:rPr>
        <w:t>双方同意提交湛江仲裁委员会依其规则仲裁</w:t>
      </w:r>
      <w:r w:rsidR="00481B1D">
        <w:rPr>
          <w:rFonts w:asciiTheme="minorEastAsia" w:hAnsiTheme="minorEastAsia" w:cs="Arial" w:hint="eastAsia"/>
          <w:kern w:val="0"/>
          <w:sz w:val="24"/>
          <w:szCs w:val="24"/>
        </w:rPr>
        <w:t>，</w:t>
      </w:r>
      <w:r w:rsidRPr="00D54403">
        <w:rPr>
          <w:rFonts w:asciiTheme="minorEastAsia" w:hAnsiTheme="minorEastAsia" w:cs="Arial" w:hint="eastAsia"/>
          <w:kern w:val="0"/>
          <w:sz w:val="24"/>
          <w:szCs w:val="24"/>
        </w:rPr>
        <w:t>仲裁地在广东省深圳市（外地当事人可申请远程参与仲裁）。</w:t>
      </w:r>
    </w:p>
    <w:p w:rsidR="002670C7" w:rsidRDefault="00444105" w:rsidP="00C87B63">
      <w:pPr>
        <w:spacing w:line="440" w:lineRule="exact"/>
        <w:ind w:firstLineChars="177" w:firstLine="425"/>
        <w:rPr>
          <w:rFonts w:asciiTheme="minorEastAsia" w:hAnsiTheme="minorEastAsia"/>
          <w:sz w:val="24"/>
          <w:szCs w:val="24"/>
        </w:rPr>
      </w:pPr>
      <w:r>
        <w:rPr>
          <w:rFonts w:asciiTheme="minorEastAsia" w:hAnsiTheme="minorEastAsia" w:hint="eastAsia"/>
          <w:sz w:val="24"/>
          <w:szCs w:val="24"/>
        </w:rPr>
        <w:t>第五十</w:t>
      </w:r>
      <w:r w:rsidR="008A1CF3">
        <w:rPr>
          <w:rFonts w:asciiTheme="minorEastAsia" w:hAnsiTheme="minorEastAsia" w:hint="eastAsia"/>
          <w:sz w:val="24"/>
          <w:szCs w:val="24"/>
        </w:rPr>
        <w:t>三</w:t>
      </w:r>
      <w:r>
        <w:rPr>
          <w:rFonts w:asciiTheme="minorEastAsia" w:hAnsiTheme="minorEastAsia" w:hint="eastAsia"/>
          <w:sz w:val="24"/>
          <w:szCs w:val="24"/>
        </w:rPr>
        <w:t>条  本合同适用中华人民共和国法律并依其进行解释。</w:t>
      </w:r>
    </w:p>
    <w:p w:rsidR="002670C7" w:rsidRDefault="002670C7" w:rsidP="00F7732E">
      <w:pPr>
        <w:spacing w:line="440" w:lineRule="exact"/>
        <w:ind w:firstLineChars="177" w:firstLine="425"/>
        <w:rPr>
          <w:rFonts w:asciiTheme="minorEastAsia" w:hAnsiTheme="minorEastAsia"/>
          <w:sz w:val="24"/>
        </w:rPr>
      </w:pPr>
    </w:p>
    <w:p w:rsidR="002670C7" w:rsidRDefault="00444105">
      <w:pPr>
        <w:pStyle w:val="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第十</w:t>
      </w:r>
      <w:r w:rsidR="008A1CF3">
        <w:rPr>
          <w:rFonts w:asciiTheme="minorEastAsia" w:eastAsiaTheme="minorEastAsia" w:hAnsiTheme="minorEastAsia" w:hint="eastAsia"/>
          <w:sz w:val="24"/>
          <w:szCs w:val="24"/>
        </w:rPr>
        <w:t>一</w:t>
      </w:r>
      <w:r>
        <w:rPr>
          <w:rFonts w:asciiTheme="minorEastAsia" w:eastAsiaTheme="minorEastAsia" w:hAnsiTheme="minorEastAsia" w:hint="eastAsia"/>
          <w:sz w:val="24"/>
          <w:szCs w:val="24"/>
        </w:rPr>
        <w:t>章</w:t>
      </w:r>
      <w:r w:rsidR="008A1CF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附则</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第五十</w:t>
      </w:r>
      <w:r w:rsidR="008A1CF3">
        <w:rPr>
          <w:rFonts w:asciiTheme="minorEastAsia" w:hAnsiTheme="minorEastAsia" w:hint="eastAsia"/>
          <w:sz w:val="24"/>
        </w:rPr>
        <w:t>四</w:t>
      </w:r>
      <w:r>
        <w:rPr>
          <w:rFonts w:asciiTheme="minorEastAsia" w:hAnsiTheme="minorEastAsia" w:hint="eastAsia"/>
          <w:sz w:val="24"/>
        </w:rPr>
        <w:t>条</w:t>
      </w:r>
      <w:r w:rsidR="00C87B63">
        <w:rPr>
          <w:rFonts w:asciiTheme="minorEastAsia" w:hAnsiTheme="minorEastAsia" w:hint="eastAsia"/>
          <w:sz w:val="24"/>
        </w:rPr>
        <w:t xml:space="preserve"> </w:t>
      </w:r>
      <w:r>
        <w:rPr>
          <w:rFonts w:asciiTheme="minorEastAsia" w:hAnsiTheme="minorEastAsia" w:hint="eastAsia"/>
          <w:sz w:val="24"/>
        </w:rPr>
        <w:t>本协议一式贰份，甲乙双方各执壹份，每份均有同等的法律效力。</w:t>
      </w:r>
    </w:p>
    <w:p w:rsidR="002670C7" w:rsidRDefault="00444105" w:rsidP="00544758">
      <w:pPr>
        <w:spacing w:line="440" w:lineRule="exact"/>
        <w:ind w:firstLineChars="177" w:firstLine="425"/>
        <w:rPr>
          <w:rFonts w:asciiTheme="minorEastAsia" w:hAnsiTheme="minorEastAsia"/>
          <w:sz w:val="24"/>
        </w:rPr>
      </w:pPr>
      <w:r>
        <w:rPr>
          <w:rFonts w:asciiTheme="minorEastAsia" w:hAnsiTheme="minorEastAsia" w:hint="eastAsia"/>
          <w:sz w:val="24"/>
        </w:rPr>
        <w:t>第五十</w:t>
      </w:r>
      <w:r w:rsidR="008A1CF3">
        <w:rPr>
          <w:rFonts w:asciiTheme="minorEastAsia" w:hAnsiTheme="minorEastAsia" w:hint="eastAsia"/>
          <w:sz w:val="24"/>
        </w:rPr>
        <w:t>五</w:t>
      </w:r>
      <w:r>
        <w:rPr>
          <w:rFonts w:asciiTheme="minorEastAsia" w:hAnsiTheme="minorEastAsia" w:hint="eastAsia"/>
          <w:sz w:val="24"/>
        </w:rPr>
        <w:t>条</w:t>
      </w:r>
      <w:r w:rsidR="00C87B63">
        <w:rPr>
          <w:rFonts w:asciiTheme="minorEastAsia" w:hAnsiTheme="minorEastAsia" w:hint="eastAsia"/>
          <w:sz w:val="24"/>
        </w:rPr>
        <w:t xml:space="preserve"> </w:t>
      </w:r>
      <w:r>
        <w:rPr>
          <w:rFonts w:asciiTheme="minorEastAsia" w:hAnsiTheme="minorEastAsia" w:hint="eastAsia"/>
          <w:sz w:val="24"/>
        </w:rPr>
        <w:t>本协议未作约定的，参照《</w:t>
      </w:r>
      <w:r w:rsidR="00544758">
        <w:rPr>
          <w:rFonts w:asciiTheme="minorEastAsia" w:hAnsiTheme="minorEastAsia" w:hint="eastAsia"/>
          <w:sz w:val="24"/>
        </w:rPr>
        <w:t>长城</w:t>
      </w:r>
      <w:r>
        <w:rPr>
          <w:rFonts w:asciiTheme="minorEastAsia" w:hAnsiTheme="minorEastAsia" w:hint="eastAsia"/>
          <w:sz w:val="24"/>
        </w:rPr>
        <w:t>证券</w:t>
      </w:r>
      <w:r w:rsidR="00544758">
        <w:rPr>
          <w:rFonts w:asciiTheme="minorEastAsia" w:hAnsiTheme="minorEastAsia" w:hint="eastAsia"/>
          <w:sz w:val="24"/>
        </w:rPr>
        <w:t>股份有限</w:t>
      </w:r>
      <w:r>
        <w:rPr>
          <w:rFonts w:asciiTheme="minorEastAsia" w:hAnsiTheme="minorEastAsia" w:hint="eastAsia"/>
          <w:sz w:val="24"/>
        </w:rPr>
        <w:t>公司客户账户开户协议》的约定执行。</w:t>
      </w:r>
    </w:p>
    <w:p w:rsidR="00C87B63" w:rsidRDefault="00C87B63">
      <w:pPr>
        <w:spacing w:line="440" w:lineRule="exact"/>
        <w:rPr>
          <w:rFonts w:asciiTheme="minorEastAsia" w:hAnsiTheme="minorEastAsia"/>
          <w:sz w:val="24"/>
        </w:rPr>
      </w:pPr>
    </w:p>
    <w:p w:rsidR="002670C7" w:rsidRDefault="00444105">
      <w:pPr>
        <w:spacing w:line="440" w:lineRule="exact"/>
        <w:rPr>
          <w:rFonts w:asciiTheme="minorEastAsia" w:hAnsiTheme="minorEastAsia"/>
          <w:sz w:val="24"/>
        </w:rPr>
      </w:pPr>
      <w:r>
        <w:rPr>
          <w:rFonts w:asciiTheme="minorEastAsia" w:hAnsiTheme="minorEastAsia"/>
          <w:sz w:val="24"/>
        </w:rPr>
        <w:t xml:space="preserve">(以下无正文) </w:t>
      </w:r>
    </w:p>
    <w:p w:rsidR="002670C7" w:rsidRDefault="00444105">
      <w:pPr>
        <w:widowControl/>
        <w:jc w:val="left"/>
        <w:rPr>
          <w:rFonts w:asciiTheme="minorEastAsia" w:hAnsiTheme="minorEastAsia"/>
          <w:sz w:val="24"/>
        </w:rPr>
      </w:pPr>
      <w:r>
        <w:rPr>
          <w:rFonts w:asciiTheme="minorEastAsia" w:hAnsiTheme="minorEastAsia"/>
          <w:sz w:val="24"/>
        </w:rPr>
        <w:br w:type="page"/>
      </w:r>
    </w:p>
    <w:p w:rsidR="002670C7" w:rsidRDefault="00444105">
      <w:pPr>
        <w:rPr>
          <w:rFonts w:asciiTheme="minorEastAsia" w:hAnsiTheme="minorEastAsia" w:cs="Times New Roman"/>
          <w:sz w:val="24"/>
          <w:szCs w:val="24"/>
        </w:rPr>
      </w:pPr>
      <w:r>
        <w:rPr>
          <w:rFonts w:asciiTheme="minorEastAsia" w:hAnsiTheme="minorEastAsia" w:cs="Times New Roman"/>
          <w:sz w:val="24"/>
          <w:szCs w:val="24"/>
        </w:rPr>
        <w:lastRenderedPageBreak/>
        <w:t xml:space="preserve"> (本页无正文，为</w:t>
      </w:r>
      <w:r>
        <w:rPr>
          <w:rFonts w:asciiTheme="minorEastAsia" w:hAnsiTheme="minorEastAsia" w:cs="Times New Roman" w:hint="eastAsia"/>
          <w:sz w:val="24"/>
          <w:szCs w:val="24"/>
        </w:rPr>
        <w:t>《长城证券股份有限公司深圳证券交易所港股通业务委托协议》签字页</w:t>
      </w:r>
      <w:r>
        <w:rPr>
          <w:rFonts w:asciiTheme="minorEastAsia" w:hAnsiTheme="minorEastAsia" w:cs="Times New Roman"/>
          <w:sz w:val="24"/>
          <w:szCs w:val="24"/>
        </w:rPr>
        <w:t>)</w:t>
      </w:r>
    </w:p>
    <w:p w:rsidR="00C87B63" w:rsidRDefault="00C87B63">
      <w:pPr>
        <w:rPr>
          <w:rFonts w:asciiTheme="minorEastAsia" w:hAnsiTheme="minorEastAsia" w:cs="Times New Roman"/>
          <w:sz w:val="24"/>
          <w:szCs w:val="24"/>
        </w:rPr>
      </w:pPr>
    </w:p>
    <w:p w:rsidR="00C87B63" w:rsidRDefault="00C87B63">
      <w:pPr>
        <w:rPr>
          <w:rFonts w:asciiTheme="minorEastAsia" w:hAnsiTheme="minorEastAsia" w:cs="Times New Roman"/>
          <w:sz w:val="24"/>
          <w:szCs w:val="24"/>
        </w:rPr>
      </w:pPr>
    </w:p>
    <w:p w:rsidR="002670C7" w:rsidRDefault="00444105">
      <w:pPr>
        <w:rPr>
          <w:rFonts w:asciiTheme="minorEastAsia" w:hAnsiTheme="minorEastAsia" w:cs="Times New Roman"/>
          <w:sz w:val="24"/>
          <w:szCs w:val="24"/>
        </w:rPr>
      </w:pPr>
      <w:r>
        <w:rPr>
          <w:rFonts w:asciiTheme="minorEastAsia" w:hAnsiTheme="minorEastAsia" w:cs="Times New Roman" w:hint="eastAsia"/>
          <w:sz w:val="24"/>
          <w:szCs w:val="24"/>
        </w:rPr>
        <w:t>甲方（个人签字</w:t>
      </w:r>
      <w:r>
        <w:rPr>
          <w:rFonts w:asciiTheme="minorEastAsia" w:hAnsiTheme="minorEastAsia" w:cs="Times New Roman"/>
          <w:sz w:val="24"/>
          <w:szCs w:val="24"/>
        </w:rPr>
        <w:t xml:space="preserve">/机构盖章）：            乙方（签章）： </w:t>
      </w:r>
    </w:p>
    <w:p w:rsidR="002670C7" w:rsidRDefault="002670C7">
      <w:pPr>
        <w:rPr>
          <w:rFonts w:asciiTheme="minorEastAsia" w:hAnsiTheme="minorEastAsia" w:cs="Times New Roman"/>
          <w:sz w:val="24"/>
          <w:szCs w:val="24"/>
        </w:rPr>
      </w:pPr>
    </w:p>
    <w:p w:rsidR="002670C7" w:rsidRDefault="00444105">
      <w:pPr>
        <w:rPr>
          <w:rFonts w:asciiTheme="minorEastAsia" w:hAnsiTheme="minorEastAsia" w:cs="Times New Roman"/>
          <w:sz w:val="24"/>
          <w:szCs w:val="24"/>
        </w:rPr>
      </w:pPr>
      <w:r>
        <w:rPr>
          <w:rFonts w:asciiTheme="minorEastAsia" w:hAnsiTheme="minorEastAsia" w:cs="Times New Roman" w:hint="eastAsia"/>
          <w:sz w:val="24"/>
          <w:szCs w:val="24"/>
        </w:rPr>
        <w:t>机构经办人（签字）：</w:t>
      </w:r>
      <w:r>
        <w:rPr>
          <w:rFonts w:asciiTheme="minorEastAsia" w:hAnsiTheme="minorEastAsia" w:cs="Times New Roman"/>
          <w:sz w:val="24"/>
          <w:szCs w:val="24"/>
        </w:rPr>
        <w:t xml:space="preserve">                 乙方经办人（签章）： </w:t>
      </w:r>
    </w:p>
    <w:p w:rsidR="002670C7" w:rsidRDefault="002670C7">
      <w:pPr>
        <w:rPr>
          <w:rFonts w:asciiTheme="minorEastAsia" w:hAnsiTheme="minorEastAsia" w:cs="Times New Roman"/>
          <w:sz w:val="24"/>
          <w:szCs w:val="24"/>
        </w:rPr>
      </w:pPr>
    </w:p>
    <w:p w:rsidR="002670C7" w:rsidRDefault="00444105">
      <w:pPr>
        <w:rPr>
          <w:rFonts w:asciiTheme="minorEastAsia" w:hAnsiTheme="minorEastAsia" w:cs="Times New Roman"/>
          <w:sz w:val="24"/>
          <w:szCs w:val="24"/>
        </w:rPr>
      </w:pPr>
      <w:r>
        <w:rPr>
          <w:rFonts w:asciiTheme="minorEastAsia" w:hAnsiTheme="minorEastAsia" w:cs="Times New Roman" w:hint="eastAsia"/>
          <w:sz w:val="24"/>
          <w:szCs w:val="24"/>
        </w:rPr>
        <w:t>签署日期：</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年</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月</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日</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签署日期：</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年</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月</w:t>
      </w:r>
      <w:r w:rsidR="00C87B63">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日</w:t>
      </w:r>
    </w:p>
    <w:p w:rsidR="002670C7" w:rsidRDefault="002670C7">
      <w:pPr>
        <w:rPr>
          <w:rFonts w:asciiTheme="minorEastAsia" w:hAnsiTheme="minorEastAsia"/>
          <w:sz w:val="24"/>
          <w:szCs w:val="24"/>
        </w:rPr>
      </w:pPr>
    </w:p>
    <w:p w:rsidR="002670C7" w:rsidRDefault="002670C7"/>
    <w:sectPr w:rsidR="002670C7" w:rsidSect="002670C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DF" w:rsidRDefault="005325DF" w:rsidP="002670C7">
      <w:r>
        <w:separator/>
      </w:r>
    </w:p>
  </w:endnote>
  <w:endnote w:type="continuationSeparator" w:id="1">
    <w:p w:rsidR="005325DF" w:rsidRDefault="005325DF" w:rsidP="00267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3297"/>
    </w:sdtPr>
    <w:sdtContent>
      <w:p w:rsidR="002670C7" w:rsidRDefault="00414F9F">
        <w:pPr>
          <w:pStyle w:val="a6"/>
          <w:jc w:val="center"/>
        </w:pPr>
        <w:r>
          <w:rPr>
            <w:rFonts w:ascii="Times New Roman" w:hAnsi="Times New Roman" w:cs="Times New Roman"/>
          </w:rPr>
          <w:fldChar w:fldCharType="begin"/>
        </w:r>
        <w:r w:rsidR="00444105">
          <w:rPr>
            <w:rFonts w:ascii="Times New Roman" w:hAnsi="Times New Roman" w:cs="Times New Roman"/>
          </w:rPr>
          <w:instrText xml:space="preserve"> PAGE   \* MERGEFORMAT </w:instrText>
        </w:r>
        <w:r>
          <w:rPr>
            <w:rFonts w:ascii="Times New Roman" w:hAnsi="Times New Roman" w:cs="Times New Roman"/>
          </w:rPr>
          <w:fldChar w:fldCharType="separate"/>
        </w:r>
        <w:r w:rsidR="00481B1D" w:rsidRPr="00481B1D">
          <w:rPr>
            <w:rFonts w:ascii="Times New Roman" w:hAnsi="Times New Roman" w:cs="Times New Roman"/>
            <w:noProof/>
            <w:lang w:val="zh-CN"/>
          </w:rPr>
          <w:t>12</w:t>
        </w:r>
        <w:r>
          <w:rPr>
            <w:rFonts w:ascii="Times New Roman" w:hAnsi="Times New Roman" w:cs="Times New Roman"/>
          </w:rPr>
          <w:fldChar w:fldCharType="end"/>
        </w:r>
      </w:p>
    </w:sdtContent>
  </w:sdt>
  <w:p w:rsidR="002670C7" w:rsidRDefault="002670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DF" w:rsidRDefault="005325DF" w:rsidP="002670C7">
      <w:r>
        <w:separator/>
      </w:r>
    </w:p>
  </w:footnote>
  <w:footnote w:type="continuationSeparator" w:id="1">
    <w:p w:rsidR="005325DF" w:rsidRDefault="005325DF" w:rsidP="00267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C7" w:rsidRDefault="00414F9F">
    <w:pPr>
      <w:pStyle w:val="a7"/>
      <w:jc w:val="both"/>
      <w:rPr>
        <w:rFonts w:ascii="黑体" w:eastAsia="黑体"/>
      </w:rPr>
    </w:pPr>
    <w:r w:rsidRPr="00414F9F">
      <w:rPr>
        <w:rFonts w:ascii="华文中宋" w:eastAsia="华文中宋" w:hAnsi="华文中宋" w:cs="Arial"/>
        <w:b/>
        <w:bCs/>
        <w:color w:val="3254C0"/>
        <w:sz w:val="24"/>
      </w:rPr>
      <w:pict>
        <v:group id="组合 1" o:spid="_x0000_s1027" style="position:absolute;left:0;text-align:left;margin-left:.35pt;margin-top:-19.05pt;width:104.75pt;height:34.85pt;z-index:251660288" coordorigin="1819,809" coordsize="2095,577203203" o:gfxdata="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">
          <v:rect id="矩形 2" o:spid="_x0000_s1026" style="position:absolute;left:2301;top:809;width:1613;height:577" o:gfxdata="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a1qSugAAANoA&#10;AAAPAAAAAAAAAAEAIAAAACIAAABkcnMvZG93bnJldi54bWxQSwECFAAUAAAACACHTuJAMy8FnjsA&#10;AAA5AAAAEAAAAAAAAAABACAAAAAJAQAAZHJzL3NoYXBleG1sLnhtbFBLBQYAAAAABgAGAFsBAACz&#10;AwAAAAA=&#10;" filled="f" stroked="f">
            <v:textbox inset="0,0,0,0">
              <w:txbxContent>
                <w:p w:rsidR="002670C7" w:rsidRDefault="00444105">
                  <w:pPr>
                    <w:rPr>
                      <w:rFonts w:ascii="华文新魏" w:eastAsia="华文新魏"/>
                      <w:b/>
                      <w:kern w:val="0"/>
                    </w:rPr>
                  </w:pPr>
                  <w:r>
                    <w:rPr>
                      <w:rFonts w:ascii="华文新魏" w:eastAsia="华文新魏" w:hAnsi="楷体" w:hint="eastAsia"/>
                      <w:b/>
                      <w:kern w:val="0"/>
                      <w:sz w:val="32"/>
                      <w:szCs w:val="20"/>
                    </w:rPr>
                    <w:t>长城证券</w:t>
                  </w:r>
                </w:p>
                <w:p w:rsidR="002670C7" w:rsidRDefault="00444105">
                  <w:pPr>
                    <w:spacing w:line="100" w:lineRule="exact"/>
                    <w:rPr>
                      <w:rFonts w:ascii="Arial" w:eastAsia="楷体" w:hAnsi="Arial" w:cs="Arial"/>
                      <w:spacing w:val="-2"/>
                      <w:kern w:val="0"/>
                      <w:sz w:val="10"/>
                      <w:szCs w:val="10"/>
                    </w:rPr>
                  </w:pPr>
                  <w:r>
                    <w:rPr>
                      <w:rFonts w:ascii="Arial" w:eastAsia="楷体" w:hAnsi="Arial" w:cs="Arial"/>
                      <w:spacing w:val="-2"/>
                      <w:kern w:val="0"/>
                      <w:sz w:val="10"/>
                      <w:szCs w:val="10"/>
                    </w:rPr>
                    <w:t>GREAT WALL SECURITIES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9" type="#_x0000_t75" alt="" style="position:absolute;left:1819;top:873;width:448;height:448" o:gfxdata="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q8sb4A&#10;AADaAAAADwAAAAAAAAABACAAAAAiAAAAZHJzL2Rvd25yZXYueG1sUEsBAhQAFAAAAAgAh07iQDMv&#10;BZ47AAAAOQAAABAAAAAAAAAAAQAgAAAADQEAAGRycy9zaGFwZXhtbC54bWxQSwUGAAAAAAYABgBb&#10;AQAAtwMAAAAA&#10;">
            <v:imagedata r:id="rId1" o:title=""/>
          </v:shape>
          <v:shapetype id="_x0000_t32" coordsize="21600,21600" o:spt="32" o:oned="t" path="m,l21600,21600e" filled="f">
            <v:path arrowok="t" fillok="f" o:connecttype="none"/>
            <o:lock v:ext="edit" shapetype="t"/>
          </v:shapetype>
          <v:shape id="自选图形 4" o:spid="_x0000_s1028" type="#_x0000_t32" style="position:absolute;left:2340;top:1181;width:1276;height: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group>
      </w:pict>
    </w:r>
    <w:r w:rsidR="00444105">
      <w:rPr>
        <w:rFonts w:ascii="黑体" w:eastAsia="黑体" w:hint="eastAsia"/>
      </w:rPr>
      <w:t>长城证券股份有限公司深港通业务委托协议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75E5"/>
    <w:rsid w:val="00006733"/>
    <w:rsid w:val="0000678C"/>
    <w:rsid w:val="000653BF"/>
    <w:rsid w:val="000A49E3"/>
    <w:rsid w:val="000B5B23"/>
    <w:rsid w:val="000F2BCF"/>
    <w:rsid w:val="00103B6F"/>
    <w:rsid w:val="001B0FBD"/>
    <w:rsid w:val="001D17A0"/>
    <w:rsid w:val="001E2B92"/>
    <w:rsid w:val="002035F8"/>
    <w:rsid w:val="00212411"/>
    <w:rsid w:val="00242A0E"/>
    <w:rsid w:val="002670C7"/>
    <w:rsid w:val="003F3D2C"/>
    <w:rsid w:val="00414F9F"/>
    <w:rsid w:val="004372C8"/>
    <w:rsid w:val="00444105"/>
    <w:rsid w:val="00451DA5"/>
    <w:rsid w:val="00470962"/>
    <w:rsid w:val="00481B1D"/>
    <w:rsid w:val="00485F90"/>
    <w:rsid w:val="004B348B"/>
    <w:rsid w:val="005325DF"/>
    <w:rsid w:val="00544758"/>
    <w:rsid w:val="00595A7C"/>
    <w:rsid w:val="005C736C"/>
    <w:rsid w:val="006104AD"/>
    <w:rsid w:val="0064249E"/>
    <w:rsid w:val="007D381B"/>
    <w:rsid w:val="008626E4"/>
    <w:rsid w:val="008A1CF3"/>
    <w:rsid w:val="00942FD0"/>
    <w:rsid w:val="00A33D29"/>
    <w:rsid w:val="00A42353"/>
    <w:rsid w:val="00A444AC"/>
    <w:rsid w:val="00A657F7"/>
    <w:rsid w:val="00B342DF"/>
    <w:rsid w:val="00B656D0"/>
    <w:rsid w:val="00C26CFB"/>
    <w:rsid w:val="00C575E5"/>
    <w:rsid w:val="00C87B63"/>
    <w:rsid w:val="00C91F89"/>
    <w:rsid w:val="00CC7E3C"/>
    <w:rsid w:val="00D141C4"/>
    <w:rsid w:val="00D54403"/>
    <w:rsid w:val="00E935CF"/>
    <w:rsid w:val="00EC1A5C"/>
    <w:rsid w:val="00F7732E"/>
    <w:rsid w:val="00FB0485"/>
    <w:rsid w:val="00FE6CA1"/>
    <w:rsid w:val="0A250F11"/>
    <w:rsid w:val="1AEA2FD1"/>
    <w:rsid w:val="1DB9315F"/>
    <w:rsid w:val="23BB1943"/>
    <w:rsid w:val="439000C6"/>
    <w:rsid w:val="46746DEF"/>
    <w:rsid w:val="5A6B2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C7"/>
    <w:pPr>
      <w:widowControl w:val="0"/>
      <w:jc w:val="both"/>
    </w:pPr>
    <w:rPr>
      <w:kern w:val="2"/>
      <w:sz w:val="21"/>
      <w:szCs w:val="22"/>
    </w:rPr>
  </w:style>
  <w:style w:type="paragraph" w:styleId="1">
    <w:name w:val="heading 1"/>
    <w:basedOn w:val="a"/>
    <w:next w:val="a"/>
    <w:link w:val="1Char"/>
    <w:uiPriority w:val="9"/>
    <w:qFormat/>
    <w:rsid w:val="002670C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70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670C7"/>
    <w:rPr>
      <w:b/>
      <w:bCs/>
    </w:rPr>
  </w:style>
  <w:style w:type="paragraph" w:styleId="a4">
    <w:name w:val="annotation text"/>
    <w:basedOn w:val="a"/>
    <w:link w:val="Char0"/>
    <w:uiPriority w:val="99"/>
    <w:unhideWhenUsed/>
    <w:qFormat/>
    <w:rsid w:val="002670C7"/>
    <w:pPr>
      <w:jc w:val="left"/>
    </w:pPr>
  </w:style>
  <w:style w:type="paragraph" w:styleId="a5">
    <w:name w:val="Balloon Text"/>
    <w:basedOn w:val="a"/>
    <w:link w:val="Char1"/>
    <w:uiPriority w:val="99"/>
    <w:unhideWhenUsed/>
    <w:qFormat/>
    <w:rsid w:val="002670C7"/>
    <w:rPr>
      <w:sz w:val="18"/>
      <w:szCs w:val="18"/>
    </w:rPr>
  </w:style>
  <w:style w:type="paragraph" w:styleId="a6">
    <w:name w:val="footer"/>
    <w:basedOn w:val="a"/>
    <w:link w:val="Char2"/>
    <w:uiPriority w:val="99"/>
    <w:unhideWhenUsed/>
    <w:qFormat/>
    <w:rsid w:val="002670C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670C7"/>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2670C7"/>
    <w:rPr>
      <w:sz w:val="21"/>
      <w:szCs w:val="21"/>
    </w:rPr>
  </w:style>
  <w:style w:type="character" w:customStyle="1" w:styleId="1Char">
    <w:name w:val="标题 1 Char"/>
    <w:basedOn w:val="a0"/>
    <w:link w:val="1"/>
    <w:uiPriority w:val="9"/>
    <w:qFormat/>
    <w:rsid w:val="002670C7"/>
    <w:rPr>
      <w:b/>
      <w:bCs/>
      <w:kern w:val="44"/>
      <w:sz w:val="44"/>
      <w:szCs w:val="44"/>
    </w:rPr>
  </w:style>
  <w:style w:type="character" w:customStyle="1" w:styleId="2Char">
    <w:name w:val="标题 2 Char"/>
    <w:basedOn w:val="a0"/>
    <w:link w:val="2"/>
    <w:uiPriority w:val="9"/>
    <w:qFormat/>
    <w:rsid w:val="002670C7"/>
    <w:rPr>
      <w:rFonts w:asciiTheme="majorHAnsi" w:eastAsiaTheme="majorEastAsia" w:hAnsiTheme="majorHAnsi" w:cstheme="majorBidi"/>
      <w:b/>
      <w:bCs/>
      <w:sz w:val="32"/>
      <w:szCs w:val="32"/>
    </w:rPr>
  </w:style>
  <w:style w:type="character" w:customStyle="1" w:styleId="Char3">
    <w:name w:val="页眉 Char"/>
    <w:basedOn w:val="a0"/>
    <w:link w:val="a7"/>
    <w:uiPriority w:val="99"/>
    <w:qFormat/>
    <w:rsid w:val="002670C7"/>
    <w:rPr>
      <w:sz w:val="18"/>
      <w:szCs w:val="18"/>
    </w:rPr>
  </w:style>
  <w:style w:type="character" w:customStyle="1" w:styleId="Char2">
    <w:name w:val="页脚 Char"/>
    <w:basedOn w:val="a0"/>
    <w:link w:val="a6"/>
    <w:uiPriority w:val="99"/>
    <w:qFormat/>
    <w:rsid w:val="002670C7"/>
    <w:rPr>
      <w:sz w:val="18"/>
      <w:szCs w:val="18"/>
    </w:rPr>
  </w:style>
  <w:style w:type="character" w:customStyle="1" w:styleId="Char0">
    <w:name w:val="批注文字 Char"/>
    <w:basedOn w:val="a0"/>
    <w:link w:val="a4"/>
    <w:uiPriority w:val="99"/>
    <w:semiHidden/>
    <w:qFormat/>
    <w:rsid w:val="002670C7"/>
  </w:style>
  <w:style w:type="character" w:customStyle="1" w:styleId="Char1">
    <w:name w:val="批注框文本 Char"/>
    <w:basedOn w:val="a0"/>
    <w:link w:val="a5"/>
    <w:uiPriority w:val="99"/>
    <w:semiHidden/>
    <w:qFormat/>
    <w:rsid w:val="002670C7"/>
    <w:rPr>
      <w:sz w:val="18"/>
      <w:szCs w:val="18"/>
    </w:rPr>
  </w:style>
  <w:style w:type="character" w:customStyle="1" w:styleId="Char">
    <w:name w:val="批注主题 Char"/>
    <w:basedOn w:val="Char0"/>
    <w:link w:val="a3"/>
    <w:uiPriority w:val="99"/>
    <w:semiHidden/>
    <w:qFormat/>
    <w:rsid w:val="002670C7"/>
    <w:rPr>
      <w:b/>
      <w:bCs/>
    </w:rPr>
  </w:style>
  <w:style w:type="paragraph" w:customStyle="1" w:styleId="4">
    <w:name w:val="4级"/>
    <w:basedOn w:val="a"/>
    <w:qFormat/>
    <w:rsid w:val="002670C7"/>
    <w:pPr>
      <w:adjustRightInd w:val="0"/>
      <w:snapToGrid w:val="0"/>
      <w:spacing w:line="360" w:lineRule="auto"/>
      <w:ind w:firstLineChars="200" w:firstLine="480"/>
    </w:pPr>
    <w:rPr>
      <w:rFonts w:ascii="宋体" w:eastAsia="宋体" w:hAnsi="宋体" w:cs="宋体"/>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童茜</dc:creator>
  <cp:lastModifiedBy>黄旭宇</cp:lastModifiedBy>
  <cp:revision>25</cp:revision>
  <cp:lastPrinted>2017-08-24T01:13:00Z</cp:lastPrinted>
  <dcterms:created xsi:type="dcterms:W3CDTF">2017-05-17T06:38:00Z</dcterms:created>
  <dcterms:modified xsi:type="dcterms:W3CDTF">2017-08-25T06:21:00Z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