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3E" w:rsidRPr="0001383E" w:rsidRDefault="001A5F1B" w:rsidP="00790665">
      <w:pPr>
        <w:jc w:val="center"/>
        <w:rPr>
          <w:rFonts w:ascii="黑体" w:eastAsia="黑体" w:hAnsi="黑体"/>
          <w:b/>
          <w:sz w:val="30"/>
          <w:szCs w:val="30"/>
        </w:rPr>
      </w:pPr>
      <w:r w:rsidRPr="0001383E">
        <w:rPr>
          <w:rFonts w:ascii="黑体" w:eastAsia="黑体" w:hAnsi="黑体" w:hint="eastAsia"/>
          <w:b/>
          <w:sz w:val="30"/>
          <w:szCs w:val="30"/>
        </w:rPr>
        <w:t>长城证券</w:t>
      </w:r>
      <w:r w:rsidR="0021045F">
        <w:rPr>
          <w:rFonts w:ascii="黑体" w:eastAsia="黑体" w:hAnsi="黑体" w:hint="eastAsia"/>
          <w:b/>
          <w:sz w:val="30"/>
          <w:szCs w:val="30"/>
        </w:rPr>
        <w:t>股份</w:t>
      </w:r>
      <w:r w:rsidRPr="0001383E">
        <w:rPr>
          <w:rFonts w:ascii="黑体" w:eastAsia="黑体" w:hAnsi="黑体" w:hint="eastAsia"/>
          <w:b/>
          <w:sz w:val="30"/>
          <w:szCs w:val="30"/>
        </w:rPr>
        <w:t>有限公司</w:t>
      </w:r>
    </w:p>
    <w:p w:rsidR="0021045F" w:rsidRDefault="001A5F1B" w:rsidP="0001383E">
      <w:pPr>
        <w:jc w:val="center"/>
        <w:rPr>
          <w:rFonts w:ascii="黑体" w:eastAsia="黑体" w:hAnsi="黑体"/>
          <w:b/>
          <w:sz w:val="30"/>
          <w:szCs w:val="30"/>
        </w:rPr>
      </w:pPr>
      <w:r w:rsidRPr="0001383E">
        <w:rPr>
          <w:rFonts w:ascii="黑体" w:eastAsia="黑体" w:hAnsi="黑体" w:hint="eastAsia"/>
          <w:b/>
          <w:sz w:val="30"/>
          <w:szCs w:val="30"/>
        </w:rPr>
        <w:t>关于</w:t>
      </w:r>
      <w:r w:rsidR="0021045F" w:rsidRPr="0021045F">
        <w:rPr>
          <w:rFonts w:ascii="黑体" w:eastAsia="黑体" w:hAnsi="黑体" w:hint="eastAsia"/>
          <w:b/>
          <w:sz w:val="30"/>
          <w:szCs w:val="30"/>
        </w:rPr>
        <w:t>深圳科安达电子科技股份有限公司</w:t>
      </w:r>
      <w:r w:rsidRPr="0001383E">
        <w:rPr>
          <w:rFonts w:ascii="黑体" w:eastAsia="黑体" w:hAnsi="黑体"/>
          <w:b/>
          <w:sz w:val="30"/>
          <w:szCs w:val="30"/>
        </w:rPr>
        <w:t>IPO</w:t>
      </w:r>
      <w:r w:rsidRPr="0001383E">
        <w:rPr>
          <w:rFonts w:ascii="黑体" w:eastAsia="黑体" w:hAnsi="黑体" w:hint="eastAsia"/>
          <w:b/>
          <w:sz w:val="30"/>
          <w:szCs w:val="30"/>
        </w:rPr>
        <w:t>辅导进展情况</w:t>
      </w:r>
    </w:p>
    <w:p w:rsidR="001A5F1B" w:rsidRPr="0001383E" w:rsidRDefault="001A5F1B" w:rsidP="0001383E">
      <w:pPr>
        <w:jc w:val="center"/>
        <w:rPr>
          <w:rFonts w:ascii="黑体" w:eastAsia="黑体" w:hAnsi="黑体"/>
          <w:b/>
          <w:sz w:val="30"/>
          <w:szCs w:val="30"/>
        </w:rPr>
      </w:pPr>
      <w:r w:rsidRPr="0001383E">
        <w:rPr>
          <w:rFonts w:ascii="黑体" w:eastAsia="黑体" w:hAnsi="黑体" w:hint="eastAsia"/>
          <w:b/>
          <w:sz w:val="30"/>
          <w:szCs w:val="30"/>
        </w:rPr>
        <w:t>公告</w:t>
      </w:r>
    </w:p>
    <w:p w:rsidR="001A5F1B" w:rsidRDefault="001A5F1B" w:rsidP="00790665"/>
    <w:p w:rsidR="001A5F1B" w:rsidRPr="00DC0A4A" w:rsidRDefault="001A5F1B" w:rsidP="00672A23">
      <w:pPr>
        <w:widowControl/>
        <w:spacing w:beforeLines="50" w:afterLines="50" w:line="360" w:lineRule="auto"/>
        <w:ind w:firstLineChars="200" w:firstLine="480"/>
        <w:jc w:val="left"/>
        <w:rPr>
          <w:rFonts w:ascii="宋体" w:cs="宋体"/>
          <w:kern w:val="0"/>
          <w:sz w:val="24"/>
          <w:szCs w:val="28"/>
        </w:rPr>
      </w:pPr>
      <w:r w:rsidRPr="00DC0A4A">
        <w:rPr>
          <w:rFonts w:ascii="宋体" w:hAnsi="宋体" w:cs="宋体" w:hint="eastAsia"/>
          <w:kern w:val="0"/>
          <w:sz w:val="24"/>
          <w:szCs w:val="28"/>
        </w:rPr>
        <w:t>根据中国证监会《首次公开发行股票并上市管理办法》、《证券发行上市保荐业务管理办法》等有关规定，长城证券</w:t>
      </w:r>
      <w:r w:rsidR="0021045F">
        <w:rPr>
          <w:rFonts w:ascii="宋体" w:hAnsi="宋体" w:cs="宋体" w:hint="eastAsia"/>
          <w:kern w:val="0"/>
          <w:sz w:val="24"/>
          <w:szCs w:val="28"/>
        </w:rPr>
        <w:t>股份</w:t>
      </w:r>
      <w:r w:rsidRPr="00DC0A4A">
        <w:rPr>
          <w:rFonts w:ascii="宋体" w:hAnsi="宋体" w:cs="宋体" w:hint="eastAsia"/>
          <w:kern w:val="0"/>
          <w:sz w:val="24"/>
          <w:szCs w:val="28"/>
        </w:rPr>
        <w:t>有限公司（以下简称“长城证券”）受聘担任</w:t>
      </w:r>
      <w:r w:rsidR="0021045F" w:rsidRPr="0021045F">
        <w:rPr>
          <w:rFonts w:ascii="宋体" w:hAnsi="宋体" w:cs="宋体" w:hint="eastAsia"/>
          <w:kern w:val="0"/>
          <w:sz w:val="24"/>
          <w:szCs w:val="28"/>
        </w:rPr>
        <w:t>深圳科安达电子科技股份有限公司</w:t>
      </w:r>
      <w:r w:rsidRPr="00DC0A4A">
        <w:rPr>
          <w:rFonts w:ascii="宋体" w:hAnsi="宋体" w:cs="宋体" w:hint="eastAsia"/>
          <w:kern w:val="0"/>
          <w:sz w:val="24"/>
          <w:szCs w:val="28"/>
        </w:rPr>
        <w:t>首次公开发行</w:t>
      </w:r>
      <w:r w:rsidRPr="00DC0A4A">
        <w:rPr>
          <w:rFonts w:ascii="宋体" w:hAnsi="宋体" w:cs="宋体"/>
          <w:kern w:val="0"/>
          <w:sz w:val="24"/>
          <w:szCs w:val="28"/>
        </w:rPr>
        <w:t>A</w:t>
      </w:r>
      <w:r w:rsidRPr="00DC0A4A">
        <w:rPr>
          <w:rFonts w:ascii="宋体" w:hAnsi="宋体" w:cs="宋体" w:hint="eastAsia"/>
          <w:kern w:val="0"/>
          <w:sz w:val="24"/>
          <w:szCs w:val="28"/>
        </w:rPr>
        <w:t>股股票并上市的辅导机构。</w:t>
      </w:r>
    </w:p>
    <w:p w:rsidR="001A5F1B" w:rsidRDefault="00B777E6" w:rsidP="00672A23">
      <w:pPr>
        <w:widowControl/>
        <w:spacing w:beforeLines="50" w:afterLines="50" w:line="360" w:lineRule="auto"/>
        <w:ind w:firstLine="480"/>
        <w:jc w:val="left"/>
        <w:rPr>
          <w:sz w:val="24"/>
        </w:rPr>
      </w:pPr>
      <w:r>
        <w:rPr>
          <w:rFonts w:ascii="宋体" w:hAnsi="宋体"/>
          <w:kern w:val="0"/>
          <w:sz w:val="24"/>
          <w:szCs w:val="28"/>
        </w:rPr>
        <w:t>201</w:t>
      </w:r>
      <w:r w:rsidR="0021045F">
        <w:rPr>
          <w:rFonts w:ascii="宋体" w:hAnsi="宋体" w:hint="eastAsia"/>
          <w:kern w:val="0"/>
          <w:sz w:val="24"/>
          <w:szCs w:val="28"/>
        </w:rPr>
        <w:t>6</w:t>
      </w:r>
      <w:r w:rsidR="001A5F1B" w:rsidRPr="00DC0A4A">
        <w:rPr>
          <w:rFonts w:ascii="宋体" w:hAnsi="宋体" w:hint="eastAsia"/>
          <w:kern w:val="0"/>
          <w:sz w:val="24"/>
          <w:szCs w:val="28"/>
        </w:rPr>
        <w:t>年</w:t>
      </w:r>
      <w:r w:rsidR="0021045F">
        <w:rPr>
          <w:rFonts w:ascii="宋体" w:hAnsi="宋体" w:hint="eastAsia"/>
          <w:kern w:val="0"/>
          <w:sz w:val="24"/>
          <w:szCs w:val="28"/>
        </w:rPr>
        <w:t>12</w:t>
      </w:r>
      <w:r w:rsidR="001A5F1B" w:rsidRPr="00DC0A4A">
        <w:rPr>
          <w:rFonts w:ascii="宋体" w:hAnsi="宋体" w:hint="eastAsia"/>
          <w:kern w:val="0"/>
          <w:sz w:val="24"/>
          <w:szCs w:val="28"/>
        </w:rPr>
        <w:t>月</w:t>
      </w:r>
      <w:r w:rsidR="0021045F">
        <w:rPr>
          <w:rFonts w:ascii="宋体" w:hAnsi="宋体" w:hint="eastAsia"/>
          <w:kern w:val="0"/>
          <w:sz w:val="24"/>
          <w:szCs w:val="28"/>
        </w:rPr>
        <w:t>28</w:t>
      </w:r>
      <w:r w:rsidR="001A5F1B" w:rsidRPr="00DC0A4A">
        <w:rPr>
          <w:rFonts w:ascii="宋体" w:hAnsi="宋体" w:hint="eastAsia"/>
          <w:kern w:val="0"/>
          <w:sz w:val="24"/>
          <w:szCs w:val="28"/>
        </w:rPr>
        <w:t>日，长城证券与</w:t>
      </w:r>
      <w:r w:rsidR="00F874A2" w:rsidRPr="0021045F">
        <w:rPr>
          <w:rFonts w:ascii="宋体" w:hAnsi="宋体" w:cs="宋体" w:hint="eastAsia"/>
          <w:kern w:val="0"/>
          <w:sz w:val="24"/>
          <w:szCs w:val="28"/>
        </w:rPr>
        <w:t>深圳科安达电子科技股份有限公司</w:t>
      </w:r>
      <w:r w:rsidR="001A5F1B">
        <w:rPr>
          <w:rFonts w:ascii="宋体" w:hAnsi="宋体" w:hint="eastAsia"/>
          <w:kern w:val="0"/>
          <w:sz w:val="24"/>
          <w:szCs w:val="28"/>
        </w:rPr>
        <w:t>签署了辅导协议</w:t>
      </w:r>
      <w:r w:rsidR="00672A23">
        <w:rPr>
          <w:rFonts w:ascii="宋体" w:hAnsi="宋体" w:hint="eastAsia"/>
          <w:kern w:val="0"/>
          <w:sz w:val="24"/>
          <w:szCs w:val="28"/>
        </w:rPr>
        <w:t>，同日</w:t>
      </w:r>
      <w:r w:rsidR="001A5F1B" w:rsidRPr="00DC0A4A">
        <w:rPr>
          <w:rFonts w:ascii="宋体" w:hAnsi="宋体" w:hint="eastAsia"/>
          <w:kern w:val="0"/>
          <w:sz w:val="24"/>
          <w:szCs w:val="28"/>
        </w:rPr>
        <w:t>，长城证券正式向中国证券监督管理委员会</w:t>
      </w:r>
      <w:r w:rsidR="0021045F">
        <w:rPr>
          <w:rFonts w:ascii="宋体" w:hAnsi="宋体" w:hint="eastAsia"/>
          <w:kern w:val="0"/>
          <w:sz w:val="24"/>
          <w:szCs w:val="28"/>
        </w:rPr>
        <w:t>深圳</w:t>
      </w:r>
      <w:r w:rsidR="001A5F1B">
        <w:rPr>
          <w:rFonts w:ascii="宋体" w:hAnsi="宋体" w:hint="eastAsia"/>
          <w:kern w:val="0"/>
          <w:sz w:val="24"/>
          <w:szCs w:val="28"/>
        </w:rPr>
        <w:t>监管局报送辅导备案申请材料并获得受理</w:t>
      </w:r>
      <w:r w:rsidR="001A5F1B">
        <w:rPr>
          <w:rFonts w:hint="eastAsia"/>
          <w:sz w:val="24"/>
        </w:rPr>
        <w:t>。</w:t>
      </w:r>
    </w:p>
    <w:p w:rsidR="001A5F1B" w:rsidRPr="00DC0A4A" w:rsidRDefault="001A5F1B" w:rsidP="00672A23">
      <w:pPr>
        <w:widowControl/>
        <w:spacing w:beforeLines="50" w:afterLines="50" w:line="360" w:lineRule="auto"/>
        <w:ind w:firstLine="480"/>
        <w:jc w:val="left"/>
        <w:rPr>
          <w:rFonts w:ascii="宋体"/>
          <w:kern w:val="0"/>
          <w:sz w:val="24"/>
          <w:szCs w:val="28"/>
        </w:rPr>
      </w:pPr>
      <w:r w:rsidRPr="00DC0A4A">
        <w:rPr>
          <w:rFonts w:ascii="宋体" w:hAnsi="宋体" w:hint="eastAsia"/>
          <w:kern w:val="0"/>
          <w:sz w:val="24"/>
          <w:szCs w:val="28"/>
        </w:rPr>
        <w:t>截至目前，长城证券对</w:t>
      </w:r>
      <w:r w:rsidR="0021045F" w:rsidRPr="0021045F">
        <w:rPr>
          <w:rFonts w:ascii="宋体" w:hAnsi="宋体" w:cs="宋体" w:hint="eastAsia"/>
          <w:kern w:val="0"/>
          <w:sz w:val="24"/>
          <w:szCs w:val="28"/>
        </w:rPr>
        <w:t>深圳科安达电子科技股份有限公司</w:t>
      </w:r>
      <w:r w:rsidRPr="00DC0A4A">
        <w:rPr>
          <w:rFonts w:ascii="宋体" w:hAnsi="宋体" w:hint="eastAsia"/>
          <w:kern w:val="0"/>
          <w:sz w:val="24"/>
          <w:szCs w:val="28"/>
        </w:rPr>
        <w:t>的上市辅导工作正在进行中。</w:t>
      </w:r>
    </w:p>
    <w:p w:rsidR="001A5F1B" w:rsidRPr="00DC0A4A" w:rsidRDefault="001A5F1B" w:rsidP="00672A23">
      <w:pPr>
        <w:widowControl/>
        <w:spacing w:beforeLines="50" w:afterLines="50" w:line="360" w:lineRule="auto"/>
        <w:rPr>
          <w:kern w:val="0"/>
          <w:sz w:val="20"/>
        </w:rPr>
      </w:pPr>
    </w:p>
    <w:p w:rsidR="001A5F1B" w:rsidRPr="00DC0A4A" w:rsidRDefault="001A5F1B" w:rsidP="00672A23">
      <w:pPr>
        <w:widowControl/>
        <w:spacing w:beforeLines="50" w:afterLines="50" w:line="360" w:lineRule="auto"/>
        <w:jc w:val="left"/>
        <w:rPr>
          <w:b/>
          <w:kern w:val="0"/>
          <w:sz w:val="20"/>
        </w:rPr>
      </w:pPr>
      <w:r w:rsidRPr="00DC0A4A">
        <w:rPr>
          <w:rFonts w:ascii="宋体" w:hAnsi="宋体" w:hint="eastAsia"/>
          <w:b/>
          <w:kern w:val="0"/>
          <w:sz w:val="24"/>
          <w:szCs w:val="28"/>
        </w:rPr>
        <w:t>附表：</w:t>
      </w:r>
      <w:r w:rsidR="0021045F" w:rsidRPr="0021045F">
        <w:rPr>
          <w:rFonts w:ascii="宋体" w:hAnsi="宋体" w:hint="eastAsia"/>
          <w:b/>
          <w:kern w:val="0"/>
          <w:sz w:val="24"/>
          <w:szCs w:val="28"/>
        </w:rPr>
        <w:t>深圳科安达电子科技股份有限公司</w:t>
      </w:r>
      <w:r w:rsidRPr="00DC0A4A">
        <w:rPr>
          <w:rFonts w:ascii="宋体" w:hAnsi="宋体" w:hint="eastAsia"/>
          <w:b/>
          <w:kern w:val="0"/>
          <w:sz w:val="24"/>
          <w:szCs w:val="28"/>
        </w:rPr>
        <w:t>法定代表人及中介机构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237"/>
      </w:tblGrid>
      <w:tr w:rsidR="001A5F1B" w:rsidRPr="00DC0A4A" w:rsidTr="00F52CF6">
        <w:trPr>
          <w:trHeight w:val="611"/>
        </w:trPr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A5F1B" w:rsidRPr="00DC0A4A" w:rsidRDefault="001A5F1B" w:rsidP="00F52CF6">
            <w:pPr>
              <w:widowControl/>
              <w:spacing w:line="360" w:lineRule="auto"/>
              <w:rPr>
                <w:rFonts w:ascii="Tahoma" w:hAnsi="Tahoma" w:cs="Tahoma"/>
                <w:b/>
                <w:kern w:val="0"/>
                <w:sz w:val="24"/>
                <w:szCs w:val="28"/>
              </w:rPr>
            </w:pPr>
            <w:r w:rsidRPr="00DC0A4A">
              <w:rPr>
                <w:rFonts w:ascii="Tahoma" w:hAnsi="Tahoma" w:cs="Tahoma" w:hint="eastAsia"/>
                <w:b/>
                <w:kern w:val="0"/>
                <w:sz w:val="24"/>
                <w:szCs w:val="28"/>
              </w:rPr>
              <w:t>发行人名称</w:t>
            </w:r>
          </w:p>
        </w:tc>
        <w:tc>
          <w:tcPr>
            <w:tcW w:w="623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A5F1B" w:rsidRPr="00B777E6" w:rsidRDefault="0021045F" w:rsidP="00F52CF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21045F">
              <w:rPr>
                <w:rFonts w:ascii="宋体" w:hAnsi="宋体" w:cs="宋体" w:hint="eastAsia"/>
                <w:kern w:val="0"/>
                <w:sz w:val="24"/>
                <w:szCs w:val="28"/>
              </w:rPr>
              <w:t>深圳科安达电子科技股份有限公司</w:t>
            </w:r>
          </w:p>
        </w:tc>
      </w:tr>
      <w:tr w:rsidR="001A5F1B" w:rsidRPr="00DC0A4A" w:rsidTr="00F52CF6">
        <w:tc>
          <w:tcPr>
            <w:tcW w:w="1985" w:type="dxa"/>
            <w:tcBorders>
              <w:left w:val="thinThickSmallGap" w:sz="12" w:space="0" w:color="auto"/>
            </w:tcBorders>
            <w:vAlign w:val="center"/>
          </w:tcPr>
          <w:p w:rsidR="001A5F1B" w:rsidRPr="00DC0A4A" w:rsidRDefault="001A5F1B" w:rsidP="00F52CF6">
            <w:pPr>
              <w:widowControl/>
              <w:spacing w:line="360" w:lineRule="auto"/>
              <w:rPr>
                <w:rFonts w:ascii="Tahoma" w:hAnsi="Tahoma" w:cs="Tahoma"/>
                <w:b/>
                <w:kern w:val="0"/>
                <w:sz w:val="24"/>
                <w:szCs w:val="28"/>
              </w:rPr>
            </w:pPr>
            <w:r w:rsidRPr="00DC0A4A">
              <w:rPr>
                <w:rFonts w:ascii="Tahoma" w:hAnsi="Tahoma" w:cs="Tahoma" w:hint="eastAsia"/>
                <w:b/>
                <w:kern w:val="0"/>
                <w:sz w:val="24"/>
                <w:szCs w:val="28"/>
              </w:rPr>
              <w:t>法定代表人</w:t>
            </w:r>
          </w:p>
        </w:tc>
        <w:tc>
          <w:tcPr>
            <w:tcW w:w="6237" w:type="dxa"/>
            <w:tcBorders>
              <w:right w:val="thinThickSmallGap" w:sz="12" w:space="0" w:color="auto"/>
            </w:tcBorders>
            <w:vAlign w:val="center"/>
          </w:tcPr>
          <w:p w:rsidR="001A5F1B" w:rsidRPr="00B777E6" w:rsidRDefault="0021045F" w:rsidP="00F52CF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郭丰明</w:t>
            </w:r>
          </w:p>
        </w:tc>
      </w:tr>
      <w:tr w:rsidR="001A5F1B" w:rsidRPr="00DC0A4A" w:rsidTr="00F52CF6">
        <w:tc>
          <w:tcPr>
            <w:tcW w:w="1985" w:type="dxa"/>
            <w:tcBorders>
              <w:left w:val="thinThickSmallGap" w:sz="12" w:space="0" w:color="auto"/>
            </w:tcBorders>
            <w:vAlign w:val="center"/>
          </w:tcPr>
          <w:p w:rsidR="001A5F1B" w:rsidRPr="00DC0A4A" w:rsidRDefault="001A5F1B" w:rsidP="00F52CF6">
            <w:pPr>
              <w:widowControl/>
              <w:spacing w:line="360" w:lineRule="auto"/>
              <w:rPr>
                <w:rFonts w:ascii="Tahoma" w:hAnsi="Tahoma" w:cs="Tahoma"/>
                <w:b/>
                <w:kern w:val="0"/>
                <w:sz w:val="24"/>
                <w:szCs w:val="28"/>
              </w:rPr>
            </w:pPr>
            <w:r w:rsidRPr="00DC0A4A">
              <w:rPr>
                <w:rFonts w:ascii="Tahoma" w:hAnsi="Tahoma" w:cs="Tahoma" w:hint="eastAsia"/>
                <w:b/>
                <w:kern w:val="0"/>
                <w:sz w:val="24"/>
                <w:szCs w:val="28"/>
              </w:rPr>
              <w:t>辅导机构</w:t>
            </w:r>
          </w:p>
        </w:tc>
        <w:tc>
          <w:tcPr>
            <w:tcW w:w="6237" w:type="dxa"/>
            <w:tcBorders>
              <w:right w:val="thinThickSmallGap" w:sz="12" w:space="0" w:color="auto"/>
            </w:tcBorders>
            <w:vAlign w:val="center"/>
          </w:tcPr>
          <w:p w:rsidR="001A5F1B" w:rsidRPr="00B777E6" w:rsidRDefault="001A5F1B" w:rsidP="001D656E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B777E6">
              <w:rPr>
                <w:rFonts w:ascii="宋体" w:hAnsi="宋体" w:cs="宋体" w:hint="eastAsia"/>
                <w:kern w:val="0"/>
                <w:sz w:val="24"/>
                <w:szCs w:val="28"/>
              </w:rPr>
              <w:t>长城证券</w:t>
            </w:r>
            <w:r w:rsidR="001D656E">
              <w:rPr>
                <w:rFonts w:ascii="宋体" w:hAnsi="宋体" w:cs="宋体" w:hint="eastAsia"/>
                <w:kern w:val="0"/>
                <w:sz w:val="24"/>
                <w:szCs w:val="28"/>
              </w:rPr>
              <w:t>股份</w:t>
            </w:r>
            <w:r w:rsidRPr="00B777E6">
              <w:rPr>
                <w:rFonts w:ascii="宋体" w:hAnsi="宋体" w:cs="宋体" w:hint="eastAsia"/>
                <w:kern w:val="0"/>
                <w:sz w:val="24"/>
                <w:szCs w:val="28"/>
              </w:rPr>
              <w:t>有限公司</w:t>
            </w:r>
          </w:p>
        </w:tc>
      </w:tr>
      <w:tr w:rsidR="001A5F1B" w:rsidRPr="00DC0A4A" w:rsidTr="00F52CF6">
        <w:tc>
          <w:tcPr>
            <w:tcW w:w="1985" w:type="dxa"/>
            <w:tcBorders>
              <w:left w:val="thinThickSmallGap" w:sz="12" w:space="0" w:color="auto"/>
            </w:tcBorders>
            <w:vAlign w:val="center"/>
          </w:tcPr>
          <w:p w:rsidR="001A5F1B" w:rsidRPr="00DC0A4A" w:rsidRDefault="001A5F1B" w:rsidP="00F52CF6">
            <w:pPr>
              <w:widowControl/>
              <w:spacing w:line="360" w:lineRule="auto"/>
              <w:rPr>
                <w:rFonts w:ascii="Tahoma" w:hAnsi="Tahoma" w:cs="Tahoma"/>
                <w:b/>
                <w:kern w:val="0"/>
                <w:sz w:val="24"/>
                <w:szCs w:val="28"/>
              </w:rPr>
            </w:pPr>
            <w:r w:rsidRPr="00DC0A4A">
              <w:rPr>
                <w:rFonts w:ascii="Tahoma" w:hAnsi="Tahoma" w:cs="Tahoma" w:hint="eastAsia"/>
                <w:b/>
                <w:kern w:val="0"/>
                <w:sz w:val="24"/>
                <w:szCs w:val="28"/>
              </w:rPr>
              <w:t>审计机构</w:t>
            </w:r>
          </w:p>
        </w:tc>
        <w:tc>
          <w:tcPr>
            <w:tcW w:w="6237" w:type="dxa"/>
            <w:tcBorders>
              <w:right w:val="thinThickSmallGap" w:sz="12" w:space="0" w:color="auto"/>
            </w:tcBorders>
            <w:vAlign w:val="center"/>
          </w:tcPr>
          <w:p w:rsidR="001A5F1B" w:rsidRPr="00B777E6" w:rsidRDefault="00532206" w:rsidP="00F52CF6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532206">
              <w:rPr>
                <w:rFonts w:ascii="宋体" w:hAnsi="宋体" w:cs="宋体" w:hint="eastAsia"/>
                <w:kern w:val="0"/>
                <w:sz w:val="24"/>
                <w:szCs w:val="28"/>
              </w:rPr>
              <w:t>众华会计师事务所（特殊普通合伙）</w:t>
            </w:r>
          </w:p>
        </w:tc>
      </w:tr>
      <w:tr w:rsidR="001A5F1B" w:rsidRPr="00DC0A4A" w:rsidTr="00F52CF6">
        <w:trPr>
          <w:trHeight w:val="483"/>
        </w:trPr>
        <w:tc>
          <w:tcPr>
            <w:tcW w:w="1985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A5F1B" w:rsidRPr="00DC0A4A" w:rsidRDefault="001A5F1B" w:rsidP="00F52CF6">
            <w:pPr>
              <w:widowControl/>
              <w:spacing w:line="360" w:lineRule="auto"/>
              <w:rPr>
                <w:rFonts w:ascii="Tahoma" w:hAnsi="Tahoma" w:cs="Tahoma"/>
                <w:b/>
                <w:kern w:val="0"/>
                <w:sz w:val="24"/>
                <w:szCs w:val="28"/>
              </w:rPr>
            </w:pPr>
            <w:r w:rsidRPr="00DC0A4A">
              <w:rPr>
                <w:rFonts w:ascii="Tahoma" w:hAnsi="Tahoma" w:cs="Tahoma" w:hint="eastAsia"/>
                <w:b/>
                <w:kern w:val="0"/>
                <w:sz w:val="24"/>
                <w:szCs w:val="28"/>
              </w:rPr>
              <w:t>律师</w:t>
            </w:r>
          </w:p>
        </w:tc>
        <w:tc>
          <w:tcPr>
            <w:tcW w:w="6237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A5F1B" w:rsidRPr="00B777E6" w:rsidRDefault="00532206" w:rsidP="00F6270E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532206">
              <w:rPr>
                <w:rFonts w:ascii="宋体" w:hAnsi="宋体" w:cs="宋体" w:hint="eastAsia"/>
                <w:kern w:val="0"/>
                <w:sz w:val="24"/>
                <w:szCs w:val="28"/>
              </w:rPr>
              <w:t>上海市锦天城律师事务所</w:t>
            </w:r>
          </w:p>
        </w:tc>
      </w:tr>
    </w:tbl>
    <w:p w:rsidR="00672A23" w:rsidRDefault="00672A23" w:rsidP="00672A23">
      <w:pPr>
        <w:spacing w:beforeLines="50" w:afterLines="50" w:line="360" w:lineRule="auto"/>
        <w:jc w:val="left"/>
        <w:rPr>
          <w:rFonts w:hint="eastAsia"/>
          <w:sz w:val="22"/>
        </w:rPr>
      </w:pPr>
    </w:p>
    <w:p w:rsidR="00672A23" w:rsidRDefault="00672A23" w:rsidP="00672A23">
      <w:pPr>
        <w:spacing w:beforeLines="50" w:afterLines="50" w:line="360" w:lineRule="auto"/>
        <w:jc w:val="right"/>
        <w:rPr>
          <w:sz w:val="22"/>
        </w:rPr>
      </w:pPr>
      <w:r w:rsidRPr="00DC0A4A">
        <w:rPr>
          <w:rFonts w:ascii="宋体" w:hAnsi="宋体" w:cs="宋体" w:hint="eastAsia"/>
          <w:kern w:val="0"/>
          <w:sz w:val="24"/>
          <w:szCs w:val="28"/>
        </w:rPr>
        <w:t>长城证券</w:t>
      </w:r>
      <w:r>
        <w:rPr>
          <w:rFonts w:ascii="宋体" w:hAnsi="宋体" w:cs="宋体" w:hint="eastAsia"/>
          <w:kern w:val="0"/>
          <w:sz w:val="24"/>
          <w:szCs w:val="28"/>
        </w:rPr>
        <w:t>股份</w:t>
      </w:r>
      <w:r w:rsidRPr="00DC0A4A">
        <w:rPr>
          <w:rFonts w:ascii="宋体" w:hAnsi="宋体" w:cs="宋体" w:hint="eastAsia"/>
          <w:kern w:val="0"/>
          <w:sz w:val="24"/>
          <w:szCs w:val="28"/>
        </w:rPr>
        <w:t>有限公司</w:t>
      </w:r>
    </w:p>
    <w:p w:rsidR="001A5F1B" w:rsidRPr="00790665" w:rsidRDefault="001D656E" w:rsidP="00672A23">
      <w:pPr>
        <w:spacing w:beforeLines="50" w:afterLines="50" w:line="360" w:lineRule="auto"/>
        <w:jc w:val="right"/>
      </w:pP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6</w:t>
      </w:r>
      <w:r w:rsidR="001A5F1B" w:rsidRPr="009D74E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="001A5F1B" w:rsidRPr="009D74E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 w:rsidR="001A5F1B" w:rsidRPr="009D74E8">
        <w:rPr>
          <w:rFonts w:hint="eastAsia"/>
          <w:sz w:val="24"/>
          <w:szCs w:val="24"/>
        </w:rPr>
        <w:t>日</w:t>
      </w:r>
    </w:p>
    <w:sectPr w:rsidR="001A5F1B" w:rsidRPr="00790665" w:rsidSect="00D418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E5" w:rsidRDefault="001E2DE5" w:rsidP="008A778B">
      <w:r>
        <w:separator/>
      </w:r>
    </w:p>
  </w:endnote>
  <w:endnote w:type="continuationSeparator" w:id="0">
    <w:p w:rsidR="001E2DE5" w:rsidRDefault="001E2DE5" w:rsidP="008A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E5" w:rsidRDefault="001E2DE5" w:rsidP="008A778B">
      <w:r>
        <w:separator/>
      </w:r>
    </w:p>
  </w:footnote>
  <w:footnote w:type="continuationSeparator" w:id="0">
    <w:p w:rsidR="001E2DE5" w:rsidRDefault="001E2DE5" w:rsidP="008A7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2B7"/>
    <w:rsid w:val="0001383E"/>
    <w:rsid w:val="000248EE"/>
    <w:rsid w:val="00087AFB"/>
    <w:rsid w:val="00136EFA"/>
    <w:rsid w:val="001645BF"/>
    <w:rsid w:val="00172978"/>
    <w:rsid w:val="001A5F1B"/>
    <w:rsid w:val="001C7DD6"/>
    <w:rsid w:val="001D656E"/>
    <w:rsid w:val="001E2DE5"/>
    <w:rsid w:val="0021045F"/>
    <w:rsid w:val="0022277B"/>
    <w:rsid w:val="0023114C"/>
    <w:rsid w:val="002B2BAD"/>
    <w:rsid w:val="002D50AD"/>
    <w:rsid w:val="00400AFD"/>
    <w:rsid w:val="00434F13"/>
    <w:rsid w:val="004D76B8"/>
    <w:rsid w:val="00532206"/>
    <w:rsid w:val="0054356D"/>
    <w:rsid w:val="00654FB3"/>
    <w:rsid w:val="00672A23"/>
    <w:rsid w:val="0070223B"/>
    <w:rsid w:val="007029C7"/>
    <w:rsid w:val="0074244D"/>
    <w:rsid w:val="0075789A"/>
    <w:rsid w:val="00770B40"/>
    <w:rsid w:val="00790665"/>
    <w:rsid w:val="007D320A"/>
    <w:rsid w:val="00800DDD"/>
    <w:rsid w:val="008200AD"/>
    <w:rsid w:val="0082110D"/>
    <w:rsid w:val="008457C4"/>
    <w:rsid w:val="00850448"/>
    <w:rsid w:val="008A6D42"/>
    <w:rsid w:val="008A778B"/>
    <w:rsid w:val="009122B7"/>
    <w:rsid w:val="00921214"/>
    <w:rsid w:val="00956420"/>
    <w:rsid w:val="0098232A"/>
    <w:rsid w:val="009C25DB"/>
    <w:rsid w:val="009D74E8"/>
    <w:rsid w:val="00AC24DC"/>
    <w:rsid w:val="00AF7101"/>
    <w:rsid w:val="00B4307F"/>
    <w:rsid w:val="00B75A8C"/>
    <w:rsid w:val="00B777E6"/>
    <w:rsid w:val="00C04567"/>
    <w:rsid w:val="00C532DF"/>
    <w:rsid w:val="00C7013D"/>
    <w:rsid w:val="00C87BAB"/>
    <w:rsid w:val="00CF6DF4"/>
    <w:rsid w:val="00D4189F"/>
    <w:rsid w:val="00D65238"/>
    <w:rsid w:val="00DC0A4A"/>
    <w:rsid w:val="00DF7E10"/>
    <w:rsid w:val="00E47C23"/>
    <w:rsid w:val="00E95F15"/>
    <w:rsid w:val="00EB6C30"/>
    <w:rsid w:val="00ED7B9E"/>
    <w:rsid w:val="00F37FD6"/>
    <w:rsid w:val="00F52CF6"/>
    <w:rsid w:val="00F5502B"/>
    <w:rsid w:val="00F6270E"/>
    <w:rsid w:val="00F874A2"/>
    <w:rsid w:val="00FD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6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22B7"/>
    <w:pPr>
      <w:widowControl/>
      <w:ind w:firstLine="480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rsid w:val="0091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8A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8A778B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8A778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8A778B"/>
    <w:rPr>
      <w:rFonts w:cs="Times New Roman"/>
      <w:sz w:val="18"/>
      <w:szCs w:val="18"/>
    </w:rPr>
  </w:style>
  <w:style w:type="paragraph" w:styleId="a7">
    <w:name w:val="Document Map"/>
    <w:basedOn w:val="a"/>
    <w:link w:val="Char1"/>
    <w:uiPriority w:val="99"/>
    <w:semiHidden/>
    <w:rsid w:val="00C532DF"/>
    <w:pPr>
      <w:shd w:val="clear" w:color="auto" w:fill="000080"/>
    </w:pPr>
  </w:style>
  <w:style w:type="character" w:customStyle="1" w:styleId="Char1">
    <w:name w:val="文档结构图 Char"/>
    <w:basedOn w:val="a0"/>
    <w:link w:val="a7"/>
    <w:uiPriority w:val="99"/>
    <w:semiHidden/>
    <w:rsid w:val="008F799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4E58B6-009A-4E92-8D8E-197994B2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陈轶瑾</dc:creator>
  <cp:keywords/>
  <dc:description/>
  <cp:lastModifiedBy>user</cp:lastModifiedBy>
  <cp:revision>32</cp:revision>
  <dcterms:created xsi:type="dcterms:W3CDTF">2014-01-03T02:16:00Z</dcterms:created>
  <dcterms:modified xsi:type="dcterms:W3CDTF">2016-12-29T03:18:00Z</dcterms:modified>
</cp:coreProperties>
</file>