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DA8" w:rsidRPr="004F5DA8" w:rsidRDefault="004F5DA8" w:rsidP="004F5DA8">
      <w:pPr>
        <w:spacing w:beforeLines="50" w:afterLines="50" w:line="360" w:lineRule="auto"/>
        <w:jc w:val="center"/>
        <w:rPr>
          <w:rFonts w:ascii="仿宋_GB2312" w:eastAsia="仿宋_GB2312" w:hAnsi="宋体" w:cs="Times New Roman"/>
          <w:b/>
          <w:bCs/>
          <w:sz w:val="30"/>
          <w:szCs w:val="30"/>
        </w:rPr>
      </w:pPr>
      <w:r w:rsidRPr="004F5DA8">
        <w:rPr>
          <w:rFonts w:ascii="仿宋_GB2312" w:eastAsia="仿宋_GB2312" w:hAnsi="宋体" w:cs="Times New Roman" w:hint="eastAsia"/>
          <w:b/>
          <w:bCs/>
          <w:sz w:val="30"/>
          <w:szCs w:val="30"/>
        </w:rPr>
        <w:t>交易异常情况处置</w:t>
      </w:r>
    </w:p>
    <w:p w:rsidR="004F5DA8" w:rsidRDefault="004F5DA8" w:rsidP="004F5DA8">
      <w:pPr>
        <w:pStyle w:val="Default"/>
        <w:rPr>
          <w:sz w:val="28"/>
          <w:szCs w:val="28"/>
        </w:rPr>
      </w:pPr>
      <w:r>
        <w:rPr>
          <w:rFonts w:ascii="FangSong" w:eastAsia="FangSong" w:cs="FangSong" w:hint="eastAsia"/>
          <w:sz w:val="30"/>
          <w:szCs w:val="30"/>
        </w:rPr>
        <w:t>第一条</w:t>
      </w:r>
      <w:r>
        <w:rPr>
          <w:rFonts w:ascii="FangSong" w:eastAsia="FangSong" w:cs="FangSong"/>
          <w:sz w:val="30"/>
          <w:szCs w:val="30"/>
        </w:rPr>
        <w:t xml:space="preserve"> </w:t>
      </w:r>
      <w:r>
        <w:rPr>
          <w:rFonts w:hint="eastAsia"/>
          <w:sz w:val="28"/>
          <w:szCs w:val="28"/>
        </w:rPr>
        <w:t>（异常情况及处置措施）因不可抗力、意外事件、技术故障、重大差错或者市场操纵等原因，导致或者可能导致部分或者全部期权交易不能正常进行，或者因合约标的连续涨跌停等原因导致或者可能导致期权市场出现重大风险的，我司可以按照规定的权限与程序采取下列风险控制措施，并立即报告交易所：</w:t>
      </w:r>
    </w:p>
    <w:p w:rsidR="004F5DA8" w:rsidRDefault="004F5DA8" w:rsidP="004F5DA8">
      <w:pPr>
        <w:pStyle w:val="Default"/>
        <w:rPr>
          <w:sz w:val="28"/>
          <w:szCs w:val="28"/>
        </w:rPr>
      </w:pPr>
    </w:p>
    <w:p w:rsidR="004F5DA8" w:rsidRDefault="004F5DA8" w:rsidP="004F5DA8">
      <w:pPr>
        <w:pStyle w:val="Default"/>
        <w:rPr>
          <w:sz w:val="28"/>
          <w:szCs w:val="28"/>
        </w:rPr>
      </w:pPr>
      <w:r>
        <w:rPr>
          <w:rFonts w:hint="eastAsia"/>
          <w:sz w:val="28"/>
          <w:szCs w:val="28"/>
        </w:rPr>
        <w:t>（一）技术性停牌；</w:t>
      </w:r>
    </w:p>
    <w:p w:rsidR="004F5DA8" w:rsidRDefault="004F5DA8" w:rsidP="004F5DA8">
      <w:pPr>
        <w:pStyle w:val="Default"/>
        <w:rPr>
          <w:sz w:val="28"/>
          <w:szCs w:val="28"/>
        </w:rPr>
      </w:pPr>
      <w:r>
        <w:rPr>
          <w:rFonts w:hint="eastAsia"/>
          <w:sz w:val="28"/>
          <w:szCs w:val="28"/>
        </w:rPr>
        <w:t>（二）临时停市；</w:t>
      </w:r>
    </w:p>
    <w:p w:rsidR="004F5DA8" w:rsidRDefault="004F5DA8" w:rsidP="004F5DA8">
      <w:pPr>
        <w:pStyle w:val="Default"/>
        <w:rPr>
          <w:sz w:val="28"/>
          <w:szCs w:val="28"/>
        </w:rPr>
      </w:pPr>
      <w:r>
        <w:rPr>
          <w:rFonts w:hint="eastAsia"/>
          <w:sz w:val="28"/>
          <w:szCs w:val="28"/>
        </w:rPr>
        <w:t>（三）调整保证金标准；</w:t>
      </w:r>
    </w:p>
    <w:p w:rsidR="004F5DA8" w:rsidRDefault="004F5DA8" w:rsidP="004F5DA8">
      <w:pPr>
        <w:pStyle w:val="Default"/>
        <w:rPr>
          <w:sz w:val="28"/>
          <w:szCs w:val="28"/>
        </w:rPr>
      </w:pPr>
      <w:r>
        <w:rPr>
          <w:rFonts w:hint="eastAsia"/>
          <w:sz w:val="28"/>
          <w:szCs w:val="28"/>
        </w:rPr>
        <w:t>（四）调整合约涨跌停价格；</w:t>
      </w:r>
    </w:p>
    <w:p w:rsidR="004F5DA8" w:rsidRDefault="004F5DA8" w:rsidP="004F5DA8">
      <w:pPr>
        <w:pStyle w:val="Default"/>
        <w:rPr>
          <w:sz w:val="28"/>
          <w:szCs w:val="28"/>
        </w:rPr>
      </w:pPr>
      <w:r>
        <w:rPr>
          <w:rFonts w:hint="eastAsia"/>
          <w:sz w:val="28"/>
          <w:szCs w:val="28"/>
        </w:rPr>
        <w:t>（五）调整合约结算价格；</w:t>
      </w:r>
    </w:p>
    <w:p w:rsidR="004F5DA8" w:rsidRDefault="004F5DA8" w:rsidP="004F5DA8">
      <w:pPr>
        <w:pStyle w:val="Default"/>
        <w:rPr>
          <w:rFonts w:ascii="Calibri" w:hAnsi="Calibri" w:cs="Calibri"/>
          <w:sz w:val="18"/>
          <w:szCs w:val="18"/>
        </w:rPr>
      </w:pPr>
      <w:r>
        <w:rPr>
          <w:rFonts w:hint="eastAsia"/>
          <w:sz w:val="28"/>
          <w:szCs w:val="28"/>
        </w:rPr>
        <w:t>（六）调整合约到期日及行权交割方式；</w:t>
      </w:r>
      <w:r>
        <w:rPr>
          <w:rFonts w:ascii="Calibri" w:hAnsi="Calibri" w:cs="Calibri"/>
          <w:sz w:val="18"/>
          <w:szCs w:val="18"/>
        </w:rPr>
        <w:t xml:space="preserve">19 </w:t>
      </w:r>
    </w:p>
    <w:p w:rsidR="004F5DA8" w:rsidRDefault="004F5DA8" w:rsidP="004F5DA8">
      <w:pPr>
        <w:pStyle w:val="Default"/>
        <w:rPr>
          <w:color w:val="auto"/>
        </w:rPr>
      </w:pPr>
    </w:p>
    <w:p w:rsidR="004F5DA8" w:rsidRDefault="004F5DA8" w:rsidP="004F5DA8">
      <w:pPr>
        <w:pStyle w:val="Default"/>
        <w:pageBreakBefore/>
        <w:rPr>
          <w:color w:val="auto"/>
          <w:sz w:val="28"/>
          <w:szCs w:val="28"/>
        </w:rPr>
      </w:pPr>
      <w:r>
        <w:rPr>
          <w:color w:val="auto"/>
          <w:sz w:val="28"/>
          <w:szCs w:val="28"/>
        </w:rPr>
        <w:lastRenderedPageBreak/>
        <w:t>（七）更正合约条款；</w:t>
      </w:r>
    </w:p>
    <w:p w:rsidR="004F5DA8" w:rsidRDefault="004F5DA8" w:rsidP="004F5DA8">
      <w:pPr>
        <w:pStyle w:val="Default"/>
        <w:rPr>
          <w:color w:val="auto"/>
          <w:sz w:val="28"/>
          <w:szCs w:val="28"/>
        </w:rPr>
      </w:pPr>
      <w:r>
        <w:rPr>
          <w:color w:val="auto"/>
          <w:sz w:val="28"/>
          <w:szCs w:val="28"/>
        </w:rPr>
        <w:t>（八）调整期权经营机构或者投资者的持仓限额；</w:t>
      </w:r>
    </w:p>
    <w:p w:rsidR="004F5DA8" w:rsidRDefault="004F5DA8" w:rsidP="004F5DA8">
      <w:pPr>
        <w:pStyle w:val="Default"/>
        <w:rPr>
          <w:color w:val="auto"/>
          <w:sz w:val="28"/>
          <w:szCs w:val="28"/>
        </w:rPr>
      </w:pPr>
      <w:r>
        <w:rPr>
          <w:color w:val="auto"/>
          <w:sz w:val="28"/>
          <w:szCs w:val="28"/>
        </w:rPr>
        <w:t>（九）限制期权经营机构或者投资者的期权交易；</w:t>
      </w:r>
    </w:p>
    <w:p w:rsidR="004F5DA8" w:rsidRDefault="004F5DA8" w:rsidP="004F5DA8">
      <w:pPr>
        <w:pStyle w:val="Default"/>
        <w:rPr>
          <w:color w:val="auto"/>
          <w:sz w:val="28"/>
          <w:szCs w:val="28"/>
        </w:rPr>
      </w:pPr>
      <w:r>
        <w:rPr>
          <w:color w:val="auto"/>
          <w:sz w:val="28"/>
          <w:szCs w:val="28"/>
        </w:rPr>
        <w:t>（十）要求期权经营机构或者投资者自行平仓；</w:t>
      </w:r>
    </w:p>
    <w:p w:rsidR="004F5DA8" w:rsidRDefault="004F5DA8" w:rsidP="004F5DA8">
      <w:pPr>
        <w:pStyle w:val="Default"/>
        <w:rPr>
          <w:color w:val="auto"/>
          <w:sz w:val="28"/>
          <w:szCs w:val="28"/>
        </w:rPr>
      </w:pPr>
      <w:r>
        <w:rPr>
          <w:color w:val="auto"/>
          <w:sz w:val="28"/>
          <w:szCs w:val="28"/>
        </w:rPr>
        <w:t>（十一）强行平仓；</w:t>
      </w:r>
    </w:p>
    <w:p w:rsidR="004F5DA8" w:rsidRDefault="004F5DA8" w:rsidP="004F5DA8">
      <w:pPr>
        <w:pStyle w:val="Default"/>
        <w:rPr>
          <w:color w:val="auto"/>
          <w:sz w:val="28"/>
          <w:szCs w:val="28"/>
        </w:rPr>
      </w:pPr>
      <w:r>
        <w:rPr>
          <w:color w:val="auto"/>
          <w:sz w:val="28"/>
          <w:szCs w:val="28"/>
        </w:rPr>
        <w:t>（十二）取消交易；</w:t>
      </w:r>
    </w:p>
    <w:p w:rsidR="004F5DA8" w:rsidRDefault="004F5DA8" w:rsidP="004F5DA8">
      <w:pPr>
        <w:pStyle w:val="Default"/>
        <w:rPr>
          <w:color w:val="auto"/>
          <w:sz w:val="28"/>
          <w:szCs w:val="28"/>
        </w:rPr>
      </w:pPr>
      <w:r>
        <w:rPr>
          <w:color w:val="auto"/>
          <w:sz w:val="28"/>
          <w:szCs w:val="28"/>
        </w:rPr>
        <w:t>（十三）其他风险控制措施。</w:t>
      </w:r>
    </w:p>
    <w:p w:rsidR="004F5DA8" w:rsidRDefault="004F5DA8" w:rsidP="004F5DA8">
      <w:pPr>
        <w:pStyle w:val="Default"/>
        <w:rPr>
          <w:color w:val="auto"/>
          <w:sz w:val="28"/>
          <w:szCs w:val="28"/>
        </w:rPr>
      </w:pPr>
      <w:r>
        <w:rPr>
          <w:color w:val="auto"/>
          <w:sz w:val="28"/>
          <w:szCs w:val="28"/>
        </w:rPr>
        <w:t>股票期权交易出现前款规定的异常情况，以及我司采取相应风险控制措施的，我司及时向市场公告。</w:t>
      </w:r>
    </w:p>
    <w:p w:rsidR="004F5DA8" w:rsidRPr="004F5DA8" w:rsidRDefault="004F5DA8" w:rsidP="004F5DA8">
      <w:pPr>
        <w:pStyle w:val="Default"/>
        <w:rPr>
          <w:color w:val="auto"/>
          <w:sz w:val="28"/>
          <w:szCs w:val="28"/>
        </w:rPr>
      </w:pPr>
      <w:r>
        <w:rPr>
          <w:rFonts w:ascii="FangSong" w:eastAsia="FangSong" w:cs="FangSong" w:hint="eastAsia"/>
          <w:color w:val="auto"/>
          <w:sz w:val="30"/>
          <w:szCs w:val="30"/>
        </w:rPr>
        <w:t>第二条</w:t>
      </w:r>
      <w:r>
        <w:rPr>
          <w:rFonts w:ascii="FangSong" w:eastAsia="FangSong" w:cs="FangSong"/>
          <w:color w:val="auto"/>
          <w:sz w:val="30"/>
          <w:szCs w:val="30"/>
        </w:rPr>
        <w:t xml:space="preserve"> </w:t>
      </w:r>
      <w:r>
        <w:rPr>
          <w:rFonts w:hint="eastAsia"/>
          <w:color w:val="auto"/>
          <w:sz w:val="28"/>
          <w:szCs w:val="28"/>
        </w:rPr>
        <w:t>（技术性停牌）发生下列情形之一的，交易所可以对期权合约交易实施技术性停牌：</w:t>
      </w:r>
    </w:p>
    <w:p w:rsidR="004F5DA8" w:rsidRDefault="004F5DA8" w:rsidP="004F5DA8">
      <w:pPr>
        <w:pStyle w:val="Default"/>
        <w:rPr>
          <w:color w:val="auto"/>
          <w:sz w:val="28"/>
          <w:szCs w:val="28"/>
        </w:rPr>
      </w:pPr>
      <w:r>
        <w:rPr>
          <w:rFonts w:hint="eastAsia"/>
          <w:color w:val="auto"/>
          <w:sz w:val="28"/>
          <w:szCs w:val="28"/>
        </w:rPr>
        <w:t>（一）期权合约交易价格出现重大异常波动；</w:t>
      </w:r>
    </w:p>
    <w:p w:rsidR="004F5DA8" w:rsidRDefault="004F5DA8" w:rsidP="004F5DA8">
      <w:pPr>
        <w:pStyle w:val="Default"/>
        <w:rPr>
          <w:color w:val="auto"/>
          <w:sz w:val="28"/>
          <w:szCs w:val="28"/>
        </w:rPr>
      </w:pPr>
      <w:r>
        <w:rPr>
          <w:rFonts w:hint="eastAsia"/>
          <w:color w:val="auto"/>
          <w:sz w:val="28"/>
          <w:szCs w:val="28"/>
        </w:rPr>
        <w:t>（二）期权合约或者合约标的交易涉嫌存在违法违规行为，对期权合约交易秩序可能产生严重影响；</w:t>
      </w:r>
    </w:p>
    <w:p w:rsidR="004F5DA8" w:rsidRDefault="004F5DA8" w:rsidP="004F5DA8">
      <w:pPr>
        <w:pStyle w:val="Default"/>
        <w:rPr>
          <w:color w:val="auto"/>
          <w:sz w:val="28"/>
          <w:szCs w:val="28"/>
        </w:rPr>
      </w:pPr>
      <w:r>
        <w:rPr>
          <w:rFonts w:hint="eastAsia"/>
          <w:color w:val="auto"/>
          <w:sz w:val="28"/>
          <w:szCs w:val="28"/>
        </w:rPr>
        <w:t>（三）交易所认定的其他情形。</w:t>
      </w:r>
    </w:p>
    <w:p w:rsidR="004F5DA8" w:rsidRDefault="004F5DA8" w:rsidP="004F5DA8">
      <w:pPr>
        <w:pStyle w:val="Default"/>
        <w:rPr>
          <w:color w:val="auto"/>
          <w:sz w:val="28"/>
          <w:szCs w:val="28"/>
        </w:rPr>
      </w:pPr>
      <w:r>
        <w:rPr>
          <w:rFonts w:hint="eastAsia"/>
          <w:color w:val="auto"/>
          <w:sz w:val="28"/>
          <w:szCs w:val="28"/>
        </w:rPr>
        <w:t>技术性停牌及复牌的时间和方式由交易所决定，并予以公告。</w:t>
      </w:r>
    </w:p>
    <w:p w:rsidR="004F5DA8" w:rsidRDefault="004F5DA8" w:rsidP="004F5DA8">
      <w:pPr>
        <w:pStyle w:val="Default"/>
        <w:rPr>
          <w:color w:val="auto"/>
          <w:sz w:val="28"/>
          <w:szCs w:val="28"/>
        </w:rPr>
      </w:pPr>
      <w:r>
        <w:rPr>
          <w:rFonts w:ascii="FangSong" w:eastAsia="FangSong" w:cs="FangSong" w:hint="eastAsia"/>
          <w:color w:val="auto"/>
          <w:sz w:val="30"/>
          <w:szCs w:val="30"/>
        </w:rPr>
        <w:t>第三条</w:t>
      </w:r>
      <w:r>
        <w:rPr>
          <w:rFonts w:ascii="FangSong" w:eastAsia="FangSong" w:cs="FangSong"/>
          <w:color w:val="auto"/>
          <w:sz w:val="30"/>
          <w:szCs w:val="30"/>
        </w:rPr>
        <w:t xml:space="preserve"> </w:t>
      </w:r>
      <w:r>
        <w:rPr>
          <w:rFonts w:hint="eastAsia"/>
          <w:color w:val="auto"/>
          <w:sz w:val="28"/>
          <w:szCs w:val="28"/>
        </w:rPr>
        <w:t>（停牌及停市后处理）技术性停牌、临时停市以及限制期权经营机构或者投资者期权交易的原因消除后，交易所可以决定恢复交易，并向市场公告。</w:t>
      </w:r>
    </w:p>
    <w:p w:rsidR="004F5DA8" w:rsidRDefault="004F5DA8" w:rsidP="004F5DA8">
      <w:pPr>
        <w:pStyle w:val="Default"/>
        <w:rPr>
          <w:color w:val="auto"/>
          <w:sz w:val="28"/>
          <w:szCs w:val="28"/>
        </w:rPr>
      </w:pPr>
    </w:p>
    <w:p w:rsidR="004F5DA8" w:rsidRDefault="004F5DA8" w:rsidP="004F5DA8">
      <w:pPr>
        <w:pStyle w:val="Default"/>
        <w:rPr>
          <w:color w:val="auto"/>
          <w:sz w:val="28"/>
          <w:szCs w:val="28"/>
        </w:rPr>
      </w:pPr>
      <w:r>
        <w:rPr>
          <w:rFonts w:hint="eastAsia"/>
          <w:color w:val="auto"/>
          <w:sz w:val="28"/>
          <w:szCs w:val="28"/>
        </w:rPr>
        <w:t>除交易所认定的特殊情况外，技术性停牌或临时停市后当日恢复交易的，技术性停牌或临时停市前已经接受的申报有效，恢复交易时对已</w:t>
      </w:r>
      <w:r>
        <w:rPr>
          <w:rFonts w:hint="eastAsia"/>
          <w:color w:val="auto"/>
          <w:sz w:val="28"/>
          <w:szCs w:val="28"/>
        </w:rPr>
        <w:lastRenderedPageBreak/>
        <w:t>接受的申报按照集合竞价成交价格的确定原则进行撮合。</w:t>
      </w:r>
    </w:p>
    <w:p w:rsidR="004F5DA8" w:rsidRDefault="004F5DA8" w:rsidP="004F5DA8">
      <w:pPr>
        <w:pStyle w:val="Default"/>
        <w:spacing w:after="154"/>
        <w:rPr>
          <w:color w:val="auto"/>
          <w:sz w:val="28"/>
          <w:szCs w:val="28"/>
        </w:rPr>
      </w:pPr>
      <w:r>
        <w:rPr>
          <w:rFonts w:ascii="FangSong" w:eastAsia="FangSong" w:cs="FangSong" w:hint="eastAsia"/>
          <w:color w:val="auto"/>
          <w:sz w:val="30"/>
          <w:szCs w:val="30"/>
        </w:rPr>
        <w:t>第四条</w:t>
      </w:r>
      <w:r>
        <w:rPr>
          <w:rFonts w:ascii="FangSong" w:eastAsia="FangSong" w:cs="FangSong"/>
          <w:color w:val="auto"/>
          <w:sz w:val="30"/>
          <w:szCs w:val="30"/>
        </w:rPr>
        <w:t xml:space="preserve"> </w:t>
      </w:r>
      <w:r>
        <w:rPr>
          <w:rFonts w:hint="eastAsia"/>
          <w:color w:val="auto"/>
          <w:sz w:val="28"/>
          <w:szCs w:val="28"/>
        </w:rPr>
        <w:t>（参数调整）因不可抗力、意外事件、技术故障或者重大差错等原因，导致期权合约条款、结算价格、涨跌停价格、标的交割结算价、开仓保证金标准以及与期权合约交易相关的其他数据发生错误时，交易所可以对相关条款或者数据进行调整，并向市场公告。</w:t>
      </w:r>
    </w:p>
    <w:p w:rsidR="004F5DA8" w:rsidRPr="004F5DA8" w:rsidRDefault="004F5DA8" w:rsidP="004F5DA8">
      <w:pPr>
        <w:pStyle w:val="Default"/>
        <w:rPr>
          <w:color w:val="auto"/>
          <w:sz w:val="28"/>
          <w:szCs w:val="28"/>
        </w:rPr>
      </w:pPr>
      <w:r>
        <w:rPr>
          <w:rFonts w:ascii="FangSong" w:eastAsia="FangSong" w:cs="FangSong" w:hint="eastAsia"/>
          <w:color w:val="auto"/>
          <w:sz w:val="30"/>
          <w:szCs w:val="30"/>
        </w:rPr>
        <w:t>第五条</w:t>
      </w:r>
      <w:r>
        <w:rPr>
          <w:rFonts w:ascii="FangSong" w:eastAsia="FangSong" w:cs="FangSong"/>
          <w:color w:val="auto"/>
          <w:sz w:val="30"/>
          <w:szCs w:val="30"/>
        </w:rPr>
        <w:t xml:space="preserve"> </w:t>
      </w:r>
      <w:r>
        <w:rPr>
          <w:rFonts w:hint="eastAsia"/>
          <w:color w:val="auto"/>
          <w:sz w:val="28"/>
          <w:szCs w:val="28"/>
        </w:rPr>
        <w:t>（市场参与人报告义务）期权经营机构、投资者因</w:t>
      </w:r>
      <w:r>
        <w:rPr>
          <w:color w:val="auto"/>
          <w:sz w:val="28"/>
          <w:szCs w:val="28"/>
        </w:rPr>
        <w:t>不可抗力、意外事件、技术故障或者重大差错等原因导致自身交易异常，影响或可能影响期权市场正常交易的，应当立即采取有效控制措施，并立即向我司报告。</w:t>
      </w:r>
    </w:p>
    <w:p w:rsidR="004F5DA8" w:rsidRDefault="004F5DA8" w:rsidP="004F5DA8">
      <w:pPr>
        <w:pStyle w:val="Default"/>
        <w:rPr>
          <w:color w:val="auto"/>
          <w:sz w:val="28"/>
          <w:szCs w:val="28"/>
        </w:rPr>
      </w:pPr>
      <w:r>
        <w:rPr>
          <w:rFonts w:hint="eastAsia"/>
          <w:color w:val="auto"/>
          <w:sz w:val="28"/>
          <w:szCs w:val="28"/>
        </w:rPr>
        <w:t>交易所</w:t>
      </w:r>
      <w:r>
        <w:rPr>
          <w:color w:val="auto"/>
          <w:sz w:val="28"/>
          <w:szCs w:val="28"/>
        </w:rPr>
        <w:t>可以对出现上述情形的期权经营机构、投资者进行核查，并及时向市场公告。</w:t>
      </w:r>
    </w:p>
    <w:p w:rsidR="004F5DA8" w:rsidRDefault="004F5DA8" w:rsidP="004F5DA8">
      <w:pPr>
        <w:pStyle w:val="Default"/>
        <w:rPr>
          <w:color w:val="auto"/>
          <w:sz w:val="28"/>
          <w:szCs w:val="28"/>
        </w:rPr>
      </w:pPr>
      <w:r>
        <w:rPr>
          <w:rFonts w:ascii="FangSong" w:eastAsia="FangSong" w:cs="FangSong" w:hint="eastAsia"/>
          <w:color w:val="auto"/>
          <w:sz w:val="30"/>
          <w:szCs w:val="30"/>
        </w:rPr>
        <w:t>第六条</w:t>
      </w:r>
      <w:r>
        <w:rPr>
          <w:rFonts w:ascii="FangSong" w:eastAsia="FangSong" w:cs="FangSong"/>
          <w:color w:val="auto"/>
          <w:sz w:val="30"/>
          <w:szCs w:val="30"/>
        </w:rPr>
        <w:t xml:space="preserve"> </w:t>
      </w:r>
      <w:r>
        <w:rPr>
          <w:rFonts w:hint="eastAsia"/>
          <w:color w:val="auto"/>
          <w:sz w:val="28"/>
          <w:szCs w:val="28"/>
        </w:rPr>
        <w:t>（取消交易）因合约标的市场或者期权合约市场发生不可抗力、意外事件、技术故障以及重大差错，导致期权交易结果出现重大异常，按此交易结果进行结算将对期权交易正常秩序和市场公平造成重大影响的，交易所可以采取取消交易等措施，我司根据交易所取消交易时段所有涉及进行通知提醒，并搜集客户反馈向交易所报告。</w:t>
      </w:r>
    </w:p>
    <w:p w:rsidR="004F5DA8" w:rsidRDefault="004F5DA8" w:rsidP="004F5DA8">
      <w:pPr>
        <w:pStyle w:val="Default"/>
        <w:rPr>
          <w:color w:val="auto"/>
          <w:sz w:val="28"/>
          <w:szCs w:val="28"/>
        </w:rPr>
      </w:pPr>
    </w:p>
    <w:p w:rsidR="004F5DA8" w:rsidRDefault="004F5DA8" w:rsidP="004F5DA8">
      <w:pPr>
        <w:pStyle w:val="Default"/>
        <w:rPr>
          <w:color w:val="auto"/>
          <w:sz w:val="28"/>
          <w:szCs w:val="28"/>
        </w:rPr>
      </w:pPr>
      <w:r>
        <w:rPr>
          <w:rFonts w:hint="eastAsia"/>
          <w:color w:val="auto"/>
          <w:sz w:val="28"/>
          <w:szCs w:val="28"/>
        </w:rPr>
        <w:t>违反本规则，严重破坏期权市场正常运行的交易，我司可以宣布取消，由此造成的损失由违规交易者承担。</w:t>
      </w:r>
    </w:p>
    <w:p w:rsidR="004F5DA8" w:rsidRDefault="004F5DA8" w:rsidP="004F5DA8">
      <w:pPr>
        <w:pStyle w:val="Default"/>
        <w:rPr>
          <w:color w:val="auto"/>
          <w:sz w:val="28"/>
          <w:szCs w:val="28"/>
        </w:rPr>
      </w:pPr>
      <w:r>
        <w:rPr>
          <w:rFonts w:ascii="FangSong" w:eastAsia="FangSong" w:cs="FangSong" w:hint="eastAsia"/>
          <w:color w:val="auto"/>
          <w:sz w:val="30"/>
          <w:szCs w:val="30"/>
        </w:rPr>
        <w:t>第七条</w:t>
      </w:r>
      <w:r>
        <w:rPr>
          <w:rFonts w:ascii="FangSong" w:eastAsia="FangSong" w:cs="FangSong"/>
          <w:color w:val="auto"/>
          <w:sz w:val="30"/>
          <w:szCs w:val="30"/>
        </w:rPr>
        <w:t xml:space="preserve"> </w:t>
      </w:r>
      <w:r>
        <w:rPr>
          <w:rFonts w:hint="eastAsia"/>
          <w:color w:val="auto"/>
          <w:sz w:val="28"/>
          <w:szCs w:val="28"/>
        </w:rPr>
        <w:t>（取消交易的决定）我司设立期权交易取消审核委员会，对取消交易事宜</w:t>
      </w:r>
      <w:proofErr w:type="gramStart"/>
      <w:r>
        <w:rPr>
          <w:rFonts w:hint="eastAsia"/>
          <w:color w:val="auto"/>
          <w:sz w:val="28"/>
          <w:szCs w:val="28"/>
        </w:rPr>
        <w:t>作出</w:t>
      </w:r>
      <w:proofErr w:type="gramEnd"/>
      <w:r>
        <w:rPr>
          <w:rFonts w:hint="eastAsia"/>
          <w:color w:val="auto"/>
          <w:sz w:val="28"/>
          <w:szCs w:val="28"/>
        </w:rPr>
        <w:t>独立和专业判断并形成审核意见。</w:t>
      </w:r>
    </w:p>
    <w:p w:rsidR="004F5DA8" w:rsidRDefault="004F5DA8" w:rsidP="004F5DA8">
      <w:pPr>
        <w:pStyle w:val="Default"/>
        <w:rPr>
          <w:color w:val="auto"/>
          <w:sz w:val="28"/>
          <w:szCs w:val="28"/>
        </w:rPr>
      </w:pPr>
    </w:p>
    <w:p w:rsidR="004F5DA8" w:rsidRDefault="004F5DA8" w:rsidP="004F5DA8">
      <w:pPr>
        <w:pStyle w:val="Default"/>
        <w:rPr>
          <w:color w:val="auto"/>
          <w:sz w:val="28"/>
          <w:szCs w:val="28"/>
        </w:rPr>
      </w:pPr>
      <w:r>
        <w:rPr>
          <w:rFonts w:hint="eastAsia"/>
          <w:color w:val="auto"/>
          <w:sz w:val="28"/>
          <w:szCs w:val="28"/>
        </w:rPr>
        <w:lastRenderedPageBreak/>
        <w:t>我司根据期权交易取消审核委员会的审核意见，</w:t>
      </w:r>
      <w:proofErr w:type="gramStart"/>
      <w:r>
        <w:rPr>
          <w:rFonts w:hint="eastAsia"/>
          <w:color w:val="auto"/>
          <w:sz w:val="28"/>
          <w:szCs w:val="28"/>
        </w:rPr>
        <w:t>作出</w:t>
      </w:r>
      <w:proofErr w:type="gramEnd"/>
      <w:r>
        <w:rPr>
          <w:rFonts w:hint="eastAsia"/>
          <w:color w:val="auto"/>
          <w:sz w:val="28"/>
          <w:szCs w:val="28"/>
        </w:rPr>
        <w:t>是否取消交易的决定，并向市场公告。</w:t>
      </w:r>
    </w:p>
    <w:p w:rsidR="0069631F" w:rsidRPr="004F5DA8" w:rsidRDefault="004F5DA8" w:rsidP="004F5DA8">
      <w:pPr>
        <w:pStyle w:val="Default"/>
        <w:rPr>
          <w:color w:val="auto"/>
          <w:sz w:val="28"/>
          <w:szCs w:val="28"/>
        </w:rPr>
      </w:pPr>
      <w:r>
        <w:rPr>
          <w:rFonts w:ascii="FangSong" w:eastAsia="FangSong" w:cs="FangSong" w:hint="eastAsia"/>
          <w:color w:val="auto"/>
          <w:sz w:val="30"/>
          <w:szCs w:val="30"/>
        </w:rPr>
        <w:t>第八条</w:t>
      </w:r>
      <w:r>
        <w:rPr>
          <w:rFonts w:ascii="FangSong" w:eastAsia="FangSong" w:cs="FangSong"/>
          <w:color w:val="auto"/>
          <w:sz w:val="30"/>
          <w:szCs w:val="30"/>
        </w:rPr>
        <w:t xml:space="preserve"> </w:t>
      </w:r>
      <w:r>
        <w:rPr>
          <w:rFonts w:hint="eastAsia"/>
          <w:color w:val="auto"/>
          <w:sz w:val="28"/>
          <w:szCs w:val="28"/>
        </w:rPr>
        <w:t>（免责条款）期权交易异常情况以及我司采取风险控制措施的后果，我司不承担责任。</w:t>
      </w:r>
    </w:p>
    <w:sectPr w:rsidR="0069631F" w:rsidRPr="004F5DA8" w:rsidSect="006963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45A" w:rsidRDefault="00C6445A" w:rsidP="004F5DA8">
      <w:r>
        <w:separator/>
      </w:r>
    </w:p>
  </w:endnote>
  <w:endnote w:type="continuationSeparator" w:id="0">
    <w:p w:rsidR="00C6445A" w:rsidRDefault="00C6445A" w:rsidP="004F5DA8">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Unicode MS">
    <w:altName w:val="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FangSong">
    <w:altName w:val="Arial Unicode MS"/>
    <w:panose1 w:val="00000000000000000000"/>
    <w:charset w:val="86"/>
    <w:family w:val="swiss"/>
    <w:notTrueType/>
    <w:pitch w:val="default"/>
    <w:sig w:usb0="00000000"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45A" w:rsidRDefault="00C6445A" w:rsidP="004F5DA8">
      <w:r>
        <w:separator/>
      </w:r>
    </w:p>
  </w:footnote>
  <w:footnote w:type="continuationSeparator" w:id="0">
    <w:p w:rsidR="00C6445A" w:rsidRDefault="00C6445A" w:rsidP="004F5D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DA8"/>
    <w:rsid w:val="004F5DA8"/>
    <w:rsid w:val="005E3F64"/>
    <w:rsid w:val="0069631F"/>
    <w:rsid w:val="00C644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3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5D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5DA8"/>
    <w:rPr>
      <w:sz w:val="18"/>
      <w:szCs w:val="18"/>
    </w:rPr>
  </w:style>
  <w:style w:type="paragraph" w:styleId="a4">
    <w:name w:val="footer"/>
    <w:basedOn w:val="a"/>
    <w:link w:val="Char0"/>
    <w:uiPriority w:val="99"/>
    <w:semiHidden/>
    <w:unhideWhenUsed/>
    <w:rsid w:val="004F5D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5DA8"/>
    <w:rPr>
      <w:sz w:val="18"/>
      <w:szCs w:val="18"/>
    </w:rPr>
  </w:style>
  <w:style w:type="paragraph" w:customStyle="1" w:styleId="Default">
    <w:name w:val="Default"/>
    <w:rsid w:val="004F5DA8"/>
    <w:pPr>
      <w:widowControl w:val="0"/>
      <w:autoSpaceDE w:val="0"/>
      <w:autoSpaceDN w:val="0"/>
      <w:adjustRightInd w:val="0"/>
    </w:pPr>
    <w:rPr>
      <w:rFonts w:ascii="Arial Unicode MS" w:eastAsia="Arial Unicode MS" w:cs="Arial Unicode MS"/>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192</Words>
  <Characters>1098</Characters>
  <Application>Microsoft Office Word</Application>
  <DocSecurity>0</DocSecurity>
  <Lines>9</Lines>
  <Paragraphs>2</Paragraphs>
  <ScaleCrop>false</ScaleCrop>
  <Company>Lenovo</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詹儒杰</dc:creator>
  <cp:keywords/>
  <dc:description/>
  <cp:lastModifiedBy>詹儒杰</cp:lastModifiedBy>
  <cp:revision>2</cp:revision>
  <dcterms:created xsi:type="dcterms:W3CDTF">2015-08-05T08:14:00Z</dcterms:created>
  <dcterms:modified xsi:type="dcterms:W3CDTF">2015-08-05T08:36:00Z</dcterms:modified>
</cp:coreProperties>
</file>