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DQWFI6GI79VA069GRPR8YLJF7ZQMOXYR9S0XHJEIXF8RTQLTZRBRQCJWFYSTP86RXXMX9OZMZHK78LNJRXFAYF8D8RNMWLCBASODDHB371BA806C28F6A8B32F3A70B6701CF03B" Type="http://schemas.microsoft.com/office/2006/relationships/officeDocumentMain" Target="docProps/core.xml"/><Relationship Id="CAWMQ6GJ7RRQ06BGRVR80L0C7NZMOXVREU06XJEOXGP8TQLTZDBJYCJVFY5TPB6RXOM65OLHZIA78IJJQEFA0FFX8RZ0WLCBAFOOYHB377D2CC6C1F54BA0F06DD359C5CAE269E" Type="http://schemas.microsoft.com/office/2006/relationships/officeDocumentExtended"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EDC" w:rsidRDefault="00E73370" w:rsidP="00624C89">
      <w:pPr>
        <w:widowControl/>
        <w:jc w:val="center"/>
        <w:rPr>
          <w:rFonts w:ascii="宋体" w:eastAsia="宋体" w:hAnsi="宋体" w:cs="宋体"/>
          <w:color w:val="555555"/>
          <w:kern w:val="0"/>
          <w:sz w:val="24"/>
          <w:szCs w:val="24"/>
        </w:rPr>
      </w:pPr>
      <w:r>
        <w:rPr>
          <w:rFonts w:ascii="宋体" w:eastAsia="宋体" w:hAnsi="宋体" w:cs="宋体" w:hint="eastAsia"/>
          <w:color w:val="555555"/>
          <w:kern w:val="0"/>
          <w:sz w:val="24"/>
          <w:szCs w:val="24"/>
        </w:rPr>
        <w:t>《</w:t>
      </w:r>
      <w:r w:rsidR="00624C89" w:rsidRPr="00460EDC">
        <w:rPr>
          <w:rFonts w:ascii="宋体" w:eastAsia="宋体" w:hAnsi="宋体" w:cs="宋体"/>
          <w:color w:val="555555"/>
          <w:kern w:val="0"/>
          <w:sz w:val="24"/>
          <w:szCs w:val="24"/>
        </w:rPr>
        <w:t>深圳证券交易所上市公司自律监管业务指引第15号——可转换公司债券</w:t>
      </w:r>
      <w:r>
        <w:rPr>
          <w:rFonts w:ascii="宋体" w:eastAsia="宋体" w:hAnsi="宋体" w:cs="宋体" w:hint="eastAsia"/>
          <w:color w:val="555555"/>
          <w:kern w:val="0"/>
          <w:sz w:val="24"/>
          <w:szCs w:val="24"/>
        </w:rPr>
        <w:t>》</w:t>
      </w:r>
      <w:r>
        <w:rPr>
          <w:rFonts w:ascii="宋体" w:eastAsia="宋体" w:hAnsi="宋体" w:cs="宋体"/>
          <w:color w:val="555555"/>
          <w:kern w:val="0"/>
          <w:sz w:val="24"/>
          <w:szCs w:val="24"/>
        </w:rPr>
        <w:t>修订提示公告</w:t>
      </w:r>
    </w:p>
    <w:p w:rsidR="00624C89" w:rsidRPr="00624C89" w:rsidRDefault="00624C89" w:rsidP="00624C89">
      <w:pPr>
        <w:widowControl/>
        <w:jc w:val="center"/>
        <w:rPr>
          <w:rFonts w:ascii="宋体" w:eastAsia="宋体" w:hAnsi="宋体" w:cs="宋体"/>
          <w:b/>
          <w:color w:val="222222"/>
          <w:kern w:val="0"/>
          <w:sz w:val="26"/>
          <w:szCs w:val="26"/>
        </w:rPr>
      </w:pPr>
    </w:p>
    <w:p w:rsidR="00624C89" w:rsidRDefault="00460EDC" w:rsidP="00460EDC">
      <w:pPr>
        <w:widowControl/>
        <w:rPr>
          <w:rFonts w:ascii="宋体" w:eastAsia="宋体" w:hAnsi="宋体" w:cs="宋体"/>
          <w:color w:val="555555"/>
          <w:kern w:val="0"/>
          <w:sz w:val="24"/>
          <w:szCs w:val="24"/>
        </w:rPr>
      </w:pPr>
      <w:r w:rsidRPr="00460EDC">
        <w:rPr>
          <w:rFonts w:ascii="宋体" w:eastAsia="宋体" w:hAnsi="宋体" w:cs="宋体"/>
          <w:color w:val="555555"/>
          <w:kern w:val="0"/>
          <w:sz w:val="24"/>
          <w:szCs w:val="24"/>
        </w:rPr>
        <w:t>深圳证券交易所（以下简称深交所）</w:t>
      </w:r>
      <w:r w:rsidR="00624C89">
        <w:rPr>
          <w:rFonts w:ascii="宋体" w:eastAsia="宋体" w:hAnsi="宋体" w:cs="宋体"/>
          <w:color w:val="555555"/>
          <w:kern w:val="0"/>
          <w:sz w:val="24"/>
          <w:szCs w:val="24"/>
        </w:rPr>
        <w:t>于</w:t>
      </w:r>
      <w:r w:rsidR="00624C89">
        <w:rPr>
          <w:rFonts w:ascii="宋体" w:eastAsia="宋体" w:hAnsi="宋体" w:cs="宋体" w:hint="eastAsia"/>
          <w:color w:val="555555"/>
          <w:kern w:val="0"/>
          <w:sz w:val="24"/>
          <w:szCs w:val="24"/>
        </w:rPr>
        <w:t>2022年7月29日</w:t>
      </w:r>
      <w:r w:rsidRPr="00460EDC">
        <w:rPr>
          <w:rFonts w:ascii="宋体" w:eastAsia="宋体" w:hAnsi="宋体" w:cs="宋体"/>
          <w:color w:val="555555"/>
          <w:kern w:val="0"/>
          <w:sz w:val="24"/>
          <w:szCs w:val="24"/>
        </w:rPr>
        <w:t>正式发布《深圳证券交易所上市公司自律监管业务指引第15号——可转换公司债券》（以下简称《自律监管指引》）。主要修订内容包括：</w:t>
      </w:r>
    </w:p>
    <w:p w:rsidR="00624C89" w:rsidRDefault="00460EDC" w:rsidP="00460EDC">
      <w:pPr>
        <w:widowControl/>
        <w:rPr>
          <w:rFonts w:ascii="宋体" w:eastAsia="宋体" w:hAnsi="宋体" w:cs="宋体"/>
          <w:color w:val="555555"/>
          <w:kern w:val="0"/>
          <w:sz w:val="24"/>
          <w:szCs w:val="24"/>
        </w:rPr>
      </w:pPr>
      <w:r w:rsidRPr="00460EDC">
        <w:rPr>
          <w:rFonts w:ascii="宋体" w:eastAsia="宋体" w:hAnsi="宋体" w:cs="宋体"/>
          <w:color w:val="555555"/>
          <w:kern w:val="0"/>
          <w:sz w:val="24"/>
          <w:szCs w:val="24"/>
        </w:rPr>
        <w:t>一是将定向可转债纳入规范范围。对定向可转债的挂牌、转股、赎回、回售、本息兑付、回购注销等业务进行了规定。</w:t>
      </w:r>
    </w:p>
    <w:p w:rsidR="00624C89" w:rsidRDefault="00460EDC" w:rsidP="00460EDC">
      <w:pPr>
        <w:widowControl/>
        <w:rPr>
          <w:rFonts w:ascii="宋体" w:eastAsia="宋体" w:hAnsi="宋体" w:cs="宋体"/>
          <w:color w:val="555555"/>
          <w:kern w:val="0"/>
          <w:sz w:val="24"/>
          <w:szCs w:val="24"/>
        </w:rPr>
      </w:pPr>
      <w:r w:rsidRPr="00460EDC">
        <w:rPr>
          <w:rFonts w:ascii="宋体" w:eastAsia="宋体" w:hAnsi="宋体" w:cs="宋体"/>
          <w:color w:val="555555"/>
          <w:kern w:val="0"/>
          <w:sz w:val="24"/>
          <w:szCs w:val="24"/>
        </w:rPr>
        <w:t>二是强化可转债信息披露。明确公司在可转债预计赎回条件、转股价格修正条件触发日前5个交易日应进行预先披露，且应在满足相关条件时审议并披露是否行使赎回权或修正转股价格的要求；未按规定审议和披露的，视为本次不行使赎回权或修正转股价，不行使赎回权至少3个月内不得再次行使，以稳定市场预期。</w:t>
      </w:r>
    </w:p>
    <w:p w:rsidR="00624C89" w:rsidRDefault="00460EDC" w:rsidP="00460EDC">
      <w:pPr>
        <w:widowControl/>
        <w:rPr>
          <w:rFonts w:ascii="宋体" w:eastAsia="宋体" w:hAnsi="宋体" w:cs="宋体"/>
          <w:color w:val="555555"/>
          <w:kern w:val="0"/>
          <w:sz w:val="24"/>
          <w:szCs w:val="24"/>
        </w:rPr>
      </w:pPr>
      <w:r w:rsidRPr="00460EDC">
        <w:rPr>
          <w:rFonts w:ascii="宋体" w:eastAsia="宋体" w:hAnsi="宋体" w:cs="宋体"/>
          <w:color w:val="555555"/>
          <w:kern w:val="0"/>
          <w:sz w:val="24"/>
          <w:szCs w:val="24"/>
        </w:rPr>
        <w:t>三是优化赎回、回售实施期限。规定可转债赎回条件触发日与赎回日的间隔期限应不少于15个交易日且不超过30个交易日，并在停止交易后为投资者留出3个交易日的转股时间，帮助投资者减少不必要损失；规定可转债回售条件触发日与申报期首日的间隔期限应不超过15个交易日，督促公司及时实施回售，保障投资者的回售权利。</w:t>
      </w:r>
    </w:p>
    <w:p w:rsidR="00124633" w:rsidRDefault="00460EDC" w:rsidP="00460EDC">
      <w:pPr>
        <w:widowControl/>
        <w:rPr>
          <w:rFonts w:ascii="宋体" w:eastAsia="宋体" w:hAnsi="宋体" w:cs="宋体"/>
          <w:color w:val="555555"/>
          <w:kern w:val="0"/>
          <w:sz w:val="24"/>
          <w:szCs w:val="24"/>
        </w:rPr>
      </w:pPr>
      <w:r w:rsidRPr="00460EDC">
        <w:rPr>
          <w:rFonts w:ascii="宋体" w:eastAsia="宋体" w:hAnsi="宋体" w:cs="宋体"/>
          <w:color w:val="555555"/>
          <w:kern w:val="0"/>
          <w:sz w:val="24"/>
          <w:szCs w:val="24"/>
        </w:rPr>
        <w:t>此外，《自律监管指引》在严格短线交易监管、压实中介机构责任、加强风险提示等方面做了相应制度安排。深交所同步对可转债相关业务办理指南、公告格式进行了相应修订，新增可转债交易异常波动和严重异常波动等公告格式，提高可转债业务办理的可操作性及相关信息披露的针对性、有效性，并配套修订相关风险揭示书必备条款，强化风险揭示。</w:t>
      </w:r>
    </w:p>
    <w:p w:rsidR="00124633" w:rsidRDefault="00124633" w:rsidP="00460EDC">
      <w:pPr>
        <w:widowControl/>
        <w:rPr>
          <w:rFonts w:ascii="宋体" w:eastAsia="宋体" w:hAnsi="宋体" w:cs="宋体"/>
          <w:color w:val="555555"/>
          <w:kern w:val="0"/>
          <w:sz w:val="24"/>
          <w:szCs w:val="24"/>
        </w:rPr>
      </w:pPr>
    </w:p>
    <w:p w:rsidR="00460EDC" w:rsidRPr="00460EDC" w:rsidRDefault="00460EDC" w:rsidP="00460EDC">
      <w:pPr>
        <w:widowControl/>
        <w:rPr>
          <w:rFonts w:ascii="宋体" w:eastAsia="宋体" w:hAnsi="宋体" w:cs="宋体"/>
          <w:color w:val="222222"/>
          <w:kern w:val="0"/>
          <w:sz w:val="26"/>
          <w:szCs w:val="26"/>
        </w:rPr>
      </w:pPr>
    </w:p>
    <w:p w:rsidR="00D22AD9" w:rsidRPr="00460EDC" w:rsidRDefault="00D22AD9" w:rsidP="00124633">
      <w:pPr>
        <w:jc w:val="right"/>
      </w:pPr>
    </w:p>
    <w:sectPr w:rsidR="00D22AD9" w:rsidRPr="00460EDC" w:rsidSect="00BC338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656A" w:rsidRDefault="00C0656A" w:rsidP="00460EDC">
      <w:r>
        <w:separator/>
      </w:r>
    </w:p>
  </w:endnote>
  <w:endnote w:type="continuationSeparator" w:id="1">
    <w:p w:rsidR="00C0656A" w:rsidRDefault="00C0656A" w:rsidP="00460ED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656A" w:rsidRDefault="00C0656A" w:rsidP="00460EDC">
      <w:r>
        <w:separator/>
      </w:r>
    </w:p>
  </w:footnote>
  <w:footnote w:type="continuationSeparator" w:id="1">
    <w:p w:rsidR="00C0656A" w:rsidRDefault="00C0656A" w:rsidP="00460E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60EDC"/>
    <w:rsid w:val="00124633"/>
    <w:rsid w:val="00420E24"/>
    <w:rsid w:val="00460EDC"/>
    <w:rsid w:val="00523C93"/>
    <w:rsid w:val="00624C89"/>
    <w:rsid w:val="008716BA"/>
    <w:rsid w:val="00BC3386"/>
    <w:rsid w:val="00C0656A"/>
    <w:rsid w:val="00D22AD9"/>
    <w:rsid w:val="00E73370"/>
    <w:rsid w:val="00E74200"/>
    <w:rsid w:val="00E76635"/>
    <w:rsid w:val="00F83E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386"/>
    <w:pPr>
      <w:widowControl w:val="0"/>
      <w:jc w:val="both"/>
    </w:pPr>
  </w:style>
  <w:style w:type="paragraph" w:styleId="1">
    <w:name w:val="heading 1"/>
    <w:basedOn w:val="a"/>
    <w:link w:val="1Char"/>
    <w:uiPriority w:val="9"/>
    <w:qFormat/>
    <w:rsid w:val="00460ED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60E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60EDC"/>
    <w:rPr>
      <w:sz w:val="18"/>
      <w:szCs w:val="18"/>
    </w:rPr>
  </w:style>
  <w:style w:type="paragraph" w:styleId="a4">
    <w:name w:val="footer"/>
    <w:basedOn w:val="a"/>
    <w:link w:val="Char0"/>
    <w:uiPriority w:val="99"/>
    <w:semiHidden/>
    <w:unhideWhenUsed/>
    <w:rsid w:val="00460ED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60EDC"/>
    <w:rPr>
      <w:sz w:val="18"/>
      <w:szCs w:val="18"/>
    </w:rPr>
  </w:style>
  <w:style w:type="character" w:customStyle="1" w:styleId="1Char">
    <w:name w:val="标题 1 Char"/>
    <w:basedOn w:val="a0"/>
    <w:link w:val="1"/>
    <w:uiPriority w:val="9"/>
    <w:rsid w:val="00460EDC"/>
    <w:rPr>
      <w:rFonts w:ascii="宋体" w:eastAsia="宋体" w:hAnsi="宋体" w:cs="宋体"/>
      <w:b/>
      <w:bCs/>
      <w:kern w:val="36"/>
      <w:sz w:val="48"/>
      <w:szCs w:val="48"/>
    </w:rPr>
  </w:style>
  <w:style w:type="character" w:customStyle="1" w:styleId="richmediameta">
    <w:name w:val="rich_media_meta"/>
    <w:basedOn w:val="a0"/>
    <w:rsid w:val="00460EDC"/>
  </w:style>
  <w:style w:type="character" w:styleId="a5">
    <w:name w:val="Hyperlink"/>
    <w:basedOn w:val="a0"/>
    <w:uiPriority w:val="99"/>
    <w:semiHidden/>
    <w:unhideWhenUsed/>
    <w:rsid w:val="00460EDC"/>
    <w:rPr>
      <w:color w:val="0000FF"/>
      <w:u w:val="single"/>
    </w:rPr>
  </w:style>
  <w:style w:type="character" w:styleId="a6">
    <w:name w:val="Emphasis"/>
    <w:basedOn w:val="a0"/>
    <w:uiPriority w:val="20"/>
    <w:qFormat/>
    <w:rsid w:val="00460EDC"/>
    <w:rPr>
      <w:i/>
      <w:iCs/>
    </w:rPr>
  </w:style>
  <w:style w:type="paragraph" w:styleId="a7">
    <w:name w:val="Normal (Web)"/>
    <w:basedOn w:val="a"/>
    <w:uiPriority w:val="99"/>
    <w:semiHidden/>
    <w:unhideWhenUsed/>
    <w:rsid w:val="00460EDC"/>
    <w:pPr>
      <w:widowControl/>
      <w:spacing w:before="100" w:beforeAutospacing="1" w:after="100" w:afterAutospacing="1"/>
      <w:jc w:val="left"/>
    </w:pPr>
    <w:rPr>
      <w:rFonts w:ascii="宋体" w:eastAsia="宋体" w:hAnsi="宋体" w:cs="宋体"/>
      <w:kern w:val="0"/>
      <w:sz w:val="24"/>
      <w:szCs w:val="24"/>
    </w:rPr>
  </w:style>
  <w:style w:type="paragraph" w:styleId="a8">
    <w:name w:val="Balloon Text"/>
    <w:basedOn w:val="a"/>
    <w:link w:val="Char1"/>
    <w:uiPriority w:val="99"/>
    <w:semiHidden/>
    <w:unhideWhenUsed/>
    <w:rsid w:val="00460EDC"/>
    <w:rPr>
      <w:sz w:val="18"/>
      <w:szCs w:val="18"/>
    </w:rPr>
  </w:style>
  <w:style w:type="character" w:customStyle="1" w:styleId="Char1">
    <w:name w:val="批注框文本 Char"/>
    <w:basedOn w:val="a0"/>
    <w:link w:val="a8"/>
    <w:uiPriority w:val="99"/>
    <w:semiHidden/>
    <w:rsid w:val="00460EDC"/>
    <w:rPr>
      <w:sz w:val="18"/>
      <w:szCs w:val="18"/>
    </w:rPr>
  </w:style>
</w:styles>
</file>

<file path=word/webSettings.xml><?xml version="1.0" encoding="utf-8"?>
<w:webSettings xmlns:r="http://schemas.openxmlformats.org/officeDocument/2006/relationships" xmlns:w="http://schemas.openxmlformats.org/wordprocessingml/2006/main">
  <w:divs>
    <w:div w:id="1567375841">
      <w:bodyDiv w:val="1"/>
      <w:marLeft w:val="0"/>
      <w:marRight w:val="0"/>
      <w:marTop w:val="0"/>
      <w:marBottom w:val="0"/>
      <w:divBdr>
        <w:top w:val="none" w:sz="0" w:space="0" w:color="auto"/>
        <w:left w:val="none" w:sz="0" w:space="0" w:color="auto"/>
        <w:bottom w:val="none" w:sz="0" w:space="0" w:color="auto"/>
        <w:right w:val="none" w:sz="0" w:space="0" w:color="auto"/>
      </w:divBdr>
      <w:divsChild>
        <w:div w:id="1498885209">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94</Words>
  <Characters>542</Characters>
  <Application>Microsoft Office Word</Application>
  <DocSecurity>0</DocSecurity>
  <Lines>4</Lines>
  <Paragraphs>1</Paragraphs>
  <ScaleCrop>false</ScaleCrop>
  <Company/>
  <LinksUpToDate>false</LinksUpToDate>
  <CharactersWithSpaces>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黄天元</dc:creator>
  <cp:lastModifiedBy>黄天元</cp:lastModifiedBy>
  <cp:revision>4</cp:revision>
  <dcterms:created xsi:type="dcterms:W3CDTF">2022-08-02T08:53:00Z</dcterms:created>
  <dcterms:modified xsi:type="dcterms:W3CDTF">2022-08-02T08:57:00Z</dcterms:modified>
</cp:coreProperties>
</file>